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FB307" w14:textId="77777777" w:rsidR="00F3363F" w:rsidRDefault="00F3363F">
      <w:pPr>
        <w:ind w:left="2160" w:firstLine="720"/>
        <w:rPr>
          <w:rFonts w:ascii="Arial" w:hAnsi="Arial"/>
        </w:rPr>
      </w:pPr>
    </w:p>
    <w:p w14:paraId="5C73F480" w14:textId="77777777" w:rsidR="008D7643" w:rsidRPr="00253E57" w:rsidRDefault="00AC45AB">
      <w:pPr>
        <w:ind w:left="2160" w:firstLine="720"/>
        <w:rPr>
          <w:rFonts w:ascii="Arial" w:hAnsi="Arial"/>
          <w:sz w:val="16"/>
        </w:rPr>
      </w:pPr>
      <w:r>
        <w:rPr>
          <w:rFonts w:ascii="Arial" w:hAnsi="Arial"/>
        </w:rPr>
        <w:pict w14:anchorId="457E23F3">
          <v:line id="_x0000_s1026" alt="decorative lines" style="position:absolute;left:0;text-align:left;z-index:251655680" from="309.6pt,33.85pt" to="468pt,33.85pt" o:allowincell="f" strokeweight=".5pt"/>
        </w:pict>
      </w:r>
      <w:r>
        <w:rPr>
          <w:rFonts w:ascii="Arial" w:hAnsi="Arial"/>
        </w:rPr>
        <w:pict w14:anchorId="13360203">
          <v:line id="_x0000_s1027" alt="decorative lines" style="position:absolute;left:0;text-align:left;z-index:251656704" from="0,33.85pt" to="151.2pt,33.85pt" o:allowincell="f" strokeweight=".5pt"/>
        </w:pict>
      </w:r>
      <w:r>
        <w:rPr>
          <w:rFonts w:ascii="Arial" w:hAnsi="Arial"/>
        </w:rPr>
        <w:pict w14:anchorId="19F7F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sta icon" style="width:183.75pt;height:108pt" fillcolor="window">
            <v:imagedata r:id="rId7" o:title=""/>
          </v:shape>
        </w:pict>
      </w:r>
    </w:p>
    <w:p w14:paraId="6777ADFC" w14:textId="77777777" w:rsidR="008D7643" w:rsidRPr="00253E57" w:rsidRDefault="008D7643">
      <w:pPr>
        <w:jc w:val="center"/>
        <w:rPr>
          <w:rFonts w:ascii="Arial" w:hAnsi="Arial"/>
        </w:rPr>
      </w:pPr>
    </w:p>
    <w:p w14:paraId="755A946E" w14:textId="77777777" w:rsidR="008D7643" w:rsidRPr="00253E57" w:rsidRDefault="008D7643">
      <w:pPr>
        <w:pStyle w:val="Date"/>
        <w:jc w:val="center"/>
        <w:rPr>
          <w:rFonts w:ascii="Arial" w:hAnsi="Arial"/>
        </w:rPr>
      </w:pPr>
    </w:p>
    <w:p w14:paraId="2EFD31C7" w14:textId="77777777" w:rsidR="008D7643" w:rsidRPr="00253E57" w:rsidRDefault="008D7643">
      <w:pPr>
        <w:jc w:val="center"/>
        <w:rPr>
          <w:rFonts w:ascii="Arial" w:hAnsi="Arial"/>
        </w:rPr>
      </w:pPr>
    </w:p>
    <w:p w14:paraId="426B75D6" w14:textId="77777777" w:rsidR="008D7643" w:rsidRPr="00253E57" w:rsidRDefault="001B43D7">
      <w:pPr>
        <w:jc w:val="center"/>
        <w:rPr>
          <w:rFonts w:ascii="Arial" w:hAnsi="Arial"/>
          <w:b/>
          <w:sz w:val="64"/>
        </w:rPr>
      </w:pPr>
      <w:r w:rsidRPr="00253E57">
        <w:rPr>
          <w:rFonts w:ascii="Arial" w:hAnsi="Arial"/>
          <w:b/>
          <w:sz w:val="64"/>
        </w:rPr>
        <w:t>In</w:t>
      </w:r>
      <w:r w:rsidR="00C1312D" w:rsidRPr="00253E57">
        <w:rPr>
          <w:rFonts w:ascii="Arial" w:hAnsi="Arial"/>
          <w:b/>
          <w:sz w:val="64"/>
        </w:rPr>
        <w:t>dian Health Service</w:t>
      </w:r>
      <w:r w:rsidR="00C7547C" w:rsidRPr="00253E57">
        <w:rPr>
          <w:rFonts w:ascii="Arial" w:hAnsi="Arial"/>
          <w:b/>
          <w:sz w:val="64"/>
        </w:rPr>
        <w:t xml:space="preserve"> and</w:t>
      </w:r>
      <w:r w:rsidR="00C1312D" w:rsidRPr="00253E57">
        <w:rPr>
          <w:rFonts w:ascii="Arial" w:hAnsi="Arial"/>
          <w:b/>
          <w:sz w:val="64"/>
        </w:rPr>
        <w:t xml:space="preserve"> Section 508 Compliance for BCMA v3.0</w:t>
      </w:r>
    </w:p>
    <w:p w14:paraId="2F9464B7" w14:textId="77777777" w:rsidR="008D7643" w:rsidRPr="00253E57" w:rsidRDefault="008D7643">
      <w:pPr>
        <w:jc w:val="center"/>
        <w:rPr>
          <w:rFonts w:ascii="Arial" w:hAnsi="Arial"/>
          <w:b/>
          <w:sz w:val="64"/>
        </w:rPr>
      </w:pPr>
    </w:p>
    <w:p w14:paraId="6AE88F61" w14:textId="77777777" w:rsidR="008D7643" w:rsidRPr="00253E57" w:rsidRDefault="008D7643">
      <w:pPr>
        <w:pStyle w:val="Heading7"/>
        <w:jc w:val="center"/>
        <w:rPr>
          <w:b/>
          <w:sz w:val="48"/>
        </w:rPr>
      </w:pPr>
      <w:r w:rsidRPr="00253E57">
        <w:rPr>
          <w:b/>
          <w:sz w:val="48"/>
        </w:rPr>
        <w:t>RELEASE NOTES</w:t>
      </w:r>
    </w:p>
    <w:p w14:paraId="76D16057" w14:textId="77777777" w:rsidR="008D7643" w:rsidRPr="00253E57" w:rsidRDefault="008D7643">
      <w:pPr>
        <w:jc w:val="center"/>
        <w:rPr>
          <w:rFonts w:ascii="Arial" w:hAnsi="Arial"/>
          <w:sz w:val="48"/>
          <w:szCs w:val="48"/>
        </w:rPr>
      </w:pPr>
    </w:p>
    <w:p w14:paraId="5969DD38" w14:textId="77777777" w:rsidR="00F322CC" w:rsidRPr="00253E57" w:rsidRDefault="008D7643">
      <w:pPr>
        <w:jc w:val="center"/>
        <w:rPr>
          <w:rFonts w:ascii="Arial" w:hAnsi="Arial"/>
          <w:sz w:val="36"/>
        </w:rPr>
      </w:pPr>
      <w:r w:rsidRPr="00253E57">
        <w:rPr>
          <w:rFonts w:ascii="Arial" w:hAnsi="Arial"/>
          <w:sz w:val="36"/>
        </w:rPr>
        <w:t>PS</w:t>
      </w:r>
      <w:r w:rsidR="00C1312D" w:rsidRPr="00253E57">
        <w:rPr>
          <w:rFonts w:ascii="Arial" w:hAnsi="Arial"/>
          <w:sz w:val="36"/>
        </w:rPr>
        <w:t>B</w:t>
      </w:r>
      <w:r w:rsidRPr="00253E57">
        <w:rPr>
          <w:rFonts w:ascii="Arial" w:hAnsi="Arial"/>
          <w:sz w:val="36"/>
        </w:rPr>
        <w:t>*</w:t>
      </w:r>
      <w:r w:rsidR="00C1312D" w:rsidRPr="00253E57">
        <w:rPr>
          <w:rFonts w:ascii="Arial" w:hAnsi="Arial"/>
          <w:sz w:val="36"/>
        </w:rPr>
        <w:t>3</w:t>
      </w:r>
      <w:r w:rsidRPr="00253E57">
        <w:rPr>
          <w:rFonts w:ascii="Arial" w:hAnsi="Arial"/>
          <w:sz w:val="36"/>
        </w:rPr>
        <w:t>*</w:t>
      </w:r>
      <w:r w:rsidR="00C1312D" w:rsidRPr="00253E57">
        <w:rPr>
          <w:rFonts w:ascii="Arial" w:hAnsi="Arial"/>
          <w:sz w:val="36"/>
        </w:rPr>
        <w:t>42</w:t>
      </w:r>
    </w:p>
    <w:p w14:paraId="4D5891AC" w14:textId="77777777" w:rsidR="008D7643" w:rsidRPr="00253E57" w:rsidRDefault="008D7643">
      <w:pPr>
        <w:jc w:val="center"/>
        <w:rPr>
          <w:rFonts w:ascii="Arial" w:hAnsi="Arial"/>
          <w:sz w:val="36"/>
        </w:rPr>
      </w:pPr>
    </w:p>
    <w:p w14:paraId="59D955A4" w14:textId="77777777" w:rsidR="008D7643" w:rsidRPr="00253E57" w:rsidRDefault="00253E57" w:rsidP="00ED5EBF">
      <w:pPr>
        <w:jc w:val="center"/>
        <w:rPr>
          <w:rFonts w:ascii="Arial" w:hAnsi="Arial"/>
        </w:rPr>
      </w:pPr>
      <w:r w:rsidRPr="00253E57">
        <w:rPr>
          <w:rFonts w:ascii="Arial" w:hAnsi="Arial"/>
          <w:sz w:val="36"/>
        </w:rPr>
        <w:t>January 2011</w:t>
      </w:r>
    </w:p>
    <w:p w14:paraId="01B74C79" w14:textId="77777777" w:rsidR="008D7643" w:rsidRPr="00253E57" w:rsidRDefault="008D7643">
      <w:pPr>
        <w:rPr>
          <w:rFonts w:ascii="Arial" w:hAnsi="Arial"/>
        </w:rPr>
      </w:pPr>
    </w:p>
    <w:p w14:paraId="6FFD73E7" w14:textId="77777777" w:rsidR="008D7643" w:rsidRPr="00253E57" w:rsidRDefault="008D7643">
      <w:pPr>
        <w:rPr>
          <w:rFonts w:ascii="Arial" w:hAnsi="Arial"/>
        </w:rPr>
      </w:pPr>
    </w:p>
    <w:p w14:paraId="69545CBA" w14:textId="77777777" w:rsidR="00062F9D" w:rsidRPr="00253E57" w:rsidRDefault="00062F9D">
      <w:pPr>
        <w:pStyle w:val="Logo"/>
        <w:spacing w:after="0"/>
        <w:rPr>
          <w:rFonts w:ascii="Arial" w:hAnsi="Arial"/>
          <w:noProof w:val="0"/>
        </w:rPr>
      </w:pPr>
    </w:p>
    <w:p w14:paraId="64764D6B" w14:textId="77777777" w:rsidR="004A4B9F" w:rsidRPr="00253E57" w:rsidRDefault="004A4B9F">
      <w:pPr>
        <w:pStyle w:val="Logo"/>
        <w:spacing w:after="0"/>
        <w:rPr>
          <w:rFonts w:ascii="Arial" w:hAnsi="Arial"/>
          <w:noProof w:val="0"/>
        </w:rPr>
      </w:pPr>
    </w:p>
    <w:p w14:paraId="2984F9C2" w14:textId="77777777" w:rsidR="004A4B9F" w:rsidRPr="00253E57" w:rsidRDefault="004A4B9F">
      <w:pPr>
        <w:pStyle w:val="Logo"/>
        <w:spacing w:after="0"/>
        <w:rPr>
          <w:rFonts w:ascii="Arial" w:hAnsi="Arial"/>
          <w:noProof w:val="0"/>
        </w:rPr>
      </w:pPr>
    </w:p>
    <w:p w14:paraId="6D6E52ED" w14:textId="77777777" w:rsidR="004A4B9F" w:rsidRPr="00253E57" w:rsidRDefault="004A4B9F">
      <w:pPr>
        <w:pStyle w:val="Logo"/>
        <w:spacing w:after="0"/>
        <w:rPr>
          <w:rFonts w:ascii="Arial" w:hAnsi="Arial"/>
          <w:noProof w:val="0"/>
        </w:rPr>
      </w:pPr>
    </w:p>
    <w:p w14:paraId="3C704AEE" w14:textId="77777777" w:rsidR="004A4B9F" w:rsidRPr="00253E57" w:rsidRDefault="004A4B9F">
      <w:pPr>
        <w:pStyle w:val="Logo"/>
        <w:spacing w:after="0"/>
        <w:rPr>
          <w:rFonts w:ascii="Arial" w:hAnsi="Arial"/>
          <w:noProof w:val="0"/>
        </w:rPr>
      </w:pPr>
    </w:p>
    <w:p w14:paraId="3AF7579D" w14:textId="77777777" w:rsidR="004A4B9F" w:rsidRPr="00253E57" w:rsidRDefault="004A4B9F">
      <w:pPr>
        <w:pStyle w:val="Logo"/>
        <w:spacing w:after="0"/>
        <w:rPr>
          <w:rFonts w:ascii="Arial" w:hAnsi="Arial"/>
          <w:noProof w:val="0"/>
        </w:rPr>
      </w:pPr>
    </w:p>
    <w:p w14:paraId="3DE902FE" w14:textId="77777777" w:rsidR="001B43D7" w:rsidRPr="00253E57" w:rsidRDefault="001B43D7">
      <w:pPr>
        <w:pStyle w:val="Logo"/>
        <w:spacing w:after="0"/>
        <w:rPr>
          <w:rFonts w:ascii="Arial" w:hAnsi="Arial"/>
          <w:noProof w:val="0"/>
        </w:rPr>
      </w:pPr>
    </w:p>
    <w:p w14:paraId="2F24A5C3" w14:textId="77777777" w:rsidR="001B43D7" w:rsidRPr="00253E57" w:rsidRDefault="001B43D7">
      <w:pPr>
        <w:pStyle w:val="Logo"/>
        <w:spacing w:after="0"/>
        <w:rPr>
          <w:rFonts w:ascii="Arial" w:hAnsi="Arial"/>
          <w:noProof w:val="0"/>
        </w:rPr>
      </w:pPr>
    </w:p>
    <w:p w14:paraId="2BF7FB5D" w14:textId="77777777" w:rsidR="001B43D7" w:rsidRPr="00253E57" w:rsidRDefault="001B43D7">
      <w:pPr>
        <w:pStyle w:val="Logo"/>
        <w:spacing w:after="0"/>
        <w:rPr>
          <w:rFonts w:ascii="Arial" w:hAnsi="Arial"/>
          <w:noProof w:val="0"/>
        </w:rPr>
      </w:pPr>
    </w:p>
    <w:p w14:paraId="6372EA3C" w14:textId="77777777" w:rsidR="001B43D7" w:rsidRPr="00253E57" w:rsidRDefault="001B43D7">
      <w:pPr>
        <w:pStyle w:val="Logo"/>
        <w:spacing w:after="0"/>
        <w:rPr>
          <w:rFonts w:ascii="Arial" w:hAnsi="Arial"/>
          <w:noProof w:val="0"/>
        </w:rPr>
      </w:pPr>
    </w:p>
    <w:p w14:paraId="4A90FCA1" w14:textId="77777777" w:rsidR="003318FA" w:rsidRPr="00253E57" w:rsidRDefault="00AC45AB" w:rsidP="003318FA">
      <w:pPr>
        <w:jc w:val="center"/>
        <w:rPr>
          <w:rFonts w:ascii="Arial" w:hAnsi="Arial" w:cs="Arial"/>
        </w:rPr>
      </w:pPr>
      <w:r>
        <w:rPr>
          <w:rFonts w:ascii="Arial" w:hAnsi="Arial" w:cs="Arial"/>
          <w:noProof/>
        </w:rPr>
        <w:pict w14:anchorId="584BEB5E">
          <v:line id="_x0000_s1074" alt="Decorative Line" style="position:absolute;left:0;text-align:left;z-index:251657728" from="318pt,9.2pt" to="461.25pt,9.2pt" strokeweight=".5pt"/>
        </w:pict>
      </w:r>
      <w:r>
        <w:rPr>
          <w:rFonts w:ascii="Arial" w:hAnsi="Arial" w:cs="Arial"/>
          <w:noProof/>
        </w:rPr>
        <w:pict w14:anchorId="739165D6">
          <v:line id="_x0000_s1075" alt="Decorative Line" style="position:absolute;left:0;text-align:left;flip:x;z-index:251658752" from="13.05pt,9.4pt" to="150pt,9.4pt" strokeweight=".5pt"/>
        </w:pict>
      </w:r>
      <w:r w:rsidR="003318FA" w:rsidRPr="00253E57">
        <w:rPr>
          <w:rFonts w:ascii="Arial" w:hAnsi="Arial" w:cs="Arial"/>
        </w:rPr>
        <w:t>Department of Veterans Affairs</w:t>
      </w:r>
    </w:p>
    <w:p w14:paraId="3738777E" w14:textId="77777777" w:rsidR="003318FA" w:rsidRPr="00253E57" w:rsidRDefault="00477CEB" w:rsidP="003318FA">
      <w:pPr>
        <w:jc w:val="center"/>
        <w:rPr>
          <w:rFonts w:ascii="Arial" w:hAnsi="Arial" w:cs="Arial"/>
        </w:rPr>
      </w:pPr>
      <w:r>
        <w:rPr>
          <w:rFonts w:ascii="Arial" w:hAnsi="Arial" w:cs="Arial"/>
        </w:rPr>
        <w:t>Product Development</w:t>
      </w:r>
      <w:r w:rsidR="003318FA" w:rsidRPr="00253E57">
        <w:rPr>
          <w:rFonts w:ascii="Arial" w:hAnsi="Arial" w:cs="Arial"/>
        </w:rPr>
        <w:t xml:space="preserve"> </w:t>
      </w:r>
    </w:p>
    <w:p w14:paraId="0C4CEFCC" w14:textId="77777777" w:rsidR="008D7643" w:rsidRPr="00253E57" w:rsidRDefault="008D7643" w:rsidP="003318FA">
      <w:pPr>
        <w:sectPr w:rsidR="008D7643" w:rsidRPr="00253E57">
          <w:footerReference w:type="default" r:id="rId8"/>
          <w:type w:val="continuous"/>
          <w:pgSz w:w="12240" w:h="15840" w:code="1"/>
          <w:pgMar w:top="1440" w:right="1440" w:bottom="1440" w:left="1440" w:header="720" w:footer="720" w:gutter="0"/>
          <w:pgNumType w:fmt="lowerRoman" w:start="1"/>
          <w:cols w:space="720"/>
          <w:titlePg/>
        </w:sectPr>
      </w:pPr>
      <w:r w:rsidRPr="00253E57">
        <w:br w:type="page"/>
      </w:r>
    </w:p>
    <w:p w14:paraId="7E982279" w14:textId="77777777" w:rsidR="008D7643" w:rsidRPr="00253E57" w:rsidRDefault="008D7643">
      <w:pPr>
        <w:spacing w:line="216" w:lineRule="auto"/>
        <w:rPr>
          <w:rFonts w:ascii="Arial" w:hAnsi="Arial"/>
          <w:b/>
          <w:sz w:val="36"/>
        </w:rPr>
      </w:pPr>
      <w:r w:rsidRPr="00253E57">
        <w:rPr>
          <w:rFonts w:ascii="Arial" w:hAnsi="Arial"/>
          <w:b/>
          <w:sz w:val="36"/>
        </w:rPr>
        <w:lastRenderedPageBreak/>
        <w:t>Table of Contents</w:t>
      </w:r>
    </w:p>
    <w:p w14:paraId="2D6F7318" w14:textId="77777777" w:rsidR="008D7643" w:rsidRPr="00253E57" w:rsidRDefault="008D7643">
      <w:pPr>
        <w:spacing w:line="216" w:lineRule="auto"/>
      </w:pPr>
    </w:p>
    <w:p w14:paraId="279F325E" w14:textId="77777777" w:rsidR="002E4441" w:rsidRPr="00253E57" w:rsidRDefault="008D7643">
      <w:pPr>
        <w:pStyle w:val="TOC1"/>
        <w:tabs>
          <w:tab w:val="left" w:pos="432"/>
          <w:tab w:val="right" w:leader="dot" w:pos="9350"/>
        </w:tabs>
        <w:rPr>
          <w:rFonts w:ascii="Calibri" w:eastAsia="SimSun" w:hAnsi="Calibri"/>
          <w:b w:val="0"/>
          <w:noProof/>
          <w:sz w:val="22"/>
          <w:szCs w:val="22"/>
          <w:lang w:eastAsia="zh-CN"/>
        </w:rPr>
      </w:pPr>
      <w:r w:rsidRPr="00253E57">
        <w:rPr>
          <w:b w:val="0"/>
        </w:rPr>
        <w:fldChar w:fldCharType="begin"/>
      </w:r>
      <w:r w:rsidRPr="00253E57">
        <w:rPr>
          <w:b w:val="0"/>
        </w:rPr>
        <w:instrText xml:space="preserve"> TOC \o "3-3" \h \z \t "Heading 1,1,Heading 2,2,heading1,1" </w:instrText>
      </w:r>
      <w:r w:rsidRPr="00253E57">
        <w:rPr>
          <w:b w:val="0"/>
        </w:rPr>
        <w:fldChar w:fldCharType="separate"/>
      </w:r>
      <w:hyperlink w:anchor="_Toc267466212" w:history="1">
        <w:r w:rsidR="002E4441" w:rsidRPr="00253E57">
          <w:rPr>
            <w:rStyle w:val="Hyperlink"/>
            <w:noProof/>
          </w:rPr>
          <w:t>1.</w:t>
        </w:r>
        <w:r w:rsidR="002E4441" w:rsidRPr="00253E57">
          <w:rPr>
            <w:rFonts w:ascii="Calibri" w:eastAsia="SimSun" w:hAnsi="Calibri"/>
            <w:b w:val="0"/>
            <w:noProof/>
            <w:sz w:val="22"/>
            <w:szCs w:val="22"/>
            <w:lang w:eastAsia="zh-CN"/>
          </w:rPr>
          <w:tab/>
        </w:r>
        <w:r w:rsidR="002E4441" w:rsidRPr="00253E57">
          <w:rPr>
            <w:rStyle w:val="Hyperlink"/>
            <w:noProof/>
          </w:rPr>
          <w:t>Introduction</w:t>
        </w:r>
        <w:r w:rsidR="002E4441" w:rsidRPr="00253E57">
          <w:rPr>
            <w:noProof/>
            <w:webHidden/>
          </w:rPr>
          <w:tab/>
        </w:r>
        <w:r w:rsidR="002E4441" w:rsidRPr="00253E57">
          <w:rPr>
            <w:noProof/>
            <w:webHidden/>
          </w:rPr>
          <w:fldChar w:fldCharType="begin"/>
        </w:r>
        <w:r w:rsidR="002E4441" w:rsidRPr="00253E57">
          <w:rPr>
            <w:noProof/>
            <w:webHidden/>
          </w:rPr>
          <w:instrText xml:space="preserve"> PAGEREF _Toc267466212 \h </w:instrText>
        </w:r>
        <w:r w:rsidR="002E4441" w:rsidRPr="00253E57">
          <w:rPr>
            <w:noProof/>
            <w:webHidden/>
          </w:rPr>
        </w:r>
        <w:r w:rsidR="002E4441" w:rsidRPr="00253E57">
          <w:rPr>
            <w:noProof/>
            <w:webHidden/>
          </w:rPr>
          <w:fldChar w:fldCharType="separate"/>
        </w:r>
        <w:r w:rsidR="002E4441" w:rsidRPr="00253E57">
          <w:rPr>
            <w:noProof/>
            <w:webHidden/>
          </w:rPr>
          <w:t>1</w:t>
        </w:r>
        <w:r w:rsidR="002E4441" w:rsidRPr="00253E57">
          <w:rPr>
            <w:noProof/>
            <w:webHidden/>
          </w:rPr>
          <w:fldChar w:fldCharType="end"/>
        </w:r>
      </w:hyperlink>
    </w:p>
    <w:p w14:paraId="215C010A" w14:textId="77777777" w:rsidR="002E4441" w:rsidRPr="00253E57" w:rsidRDefault="00AC45AB">
      <w:pPr>
        <w:pStyle w:val="TOC1"/>
        <w:tabs>
          <w:tab w:val="left" w:pos="432"/>
          <w:tab w:val="right" w:leader="dot" w:pos="9350"/>
        </w:tabs>
        <w:rPr>
          <w:rFonts w:ascii="Calibri" w:eastAsia="SimSun" w:hAnsi="Calibri"/>
          <w:b w:val="0"/>
          <w:noProof/>
          <w:sz w:val="22"/>
          <w:szCs w:val="22"/>
          <w:lang w:eastAsia="zh-CN"/>
        </w:rPr>
      </w:pPr>
      <w:hyperlink w:anchor="_Toc267466213" w:history="1">
        <w:r w:rsidR="002E4441" w:rsidRPr="00253E57">
          <w:rPr>
            <w:rStyle w:val="Hyperlink"/>
            <w:noProof/>
          </w:rPr>
          <w:t>2.</w:t>
        </w:r>
        <w:r w:rsidR="002E4441" w:rsidRPr="00253E57">
          <w:rPr>
            <w:rFonts w:ascii="Calibri" w:eastAsia="SimSun" w:hAnsi="Calibri"/>
            <w:b w:val="0"/>
            <w:noProof/>
            <w:sz w:val="22"/>
            <w:szCs w:val="22"/>
            <w:lang w:eastAsia="zh-CN"/>
          </w:rPr>
          <w:tab/>
        </w:r>
        <w:r w:rsidR="002E4441" w:rsidRPr="00253E57">
          <w:rPr>
            <w:rStyle w:val="Hyperlink"/>
            <w:noProof/>
          </w:rPr>
          <w:t>Enhancements</w:t>
        </w:r>
        <w:r w:rsidR="002E4441" w:rsidRPr="00253E57">
          <w:rPr>
            <w:noProof/>
            <w:webHidden/>
          </w:rPr>
          <w:tab/>
        </w:r>
        <w:r w:rsidR="002E4441" w:rsidRPr="00253E57">
          <w:rPr>
            <w:noProof/>
            <w:webHidden/>
          </w:rPr>
          <w:fldChar w:fldCharType="begin"/>
        </w:r>
        <w:r w:rsidR="002E4441" w:rsidRPr="00253E57">
          <w:rPr>
            <w:noProof/>
            <w:webHidden/>
          </w:rPr>
          <w:instrText xml:space="preserve"> PAGEREF _Toc267466213 \h </w:instrText>
        </w:r>
        <w:r w:rsidR="002E4441" w:rsidRPr="00253E57">
          <w:rPr>
            <w:noProof/>
            <w:webHidden/>
          </w:rPr>
        </w:r>
        <w:r w:rsidR="002E4441" w:rsidRPr="00253E57">
          <w:rPr>
            <w:noProof/>
            <w:webHidden/>
          </w:rPr>
          <w:fldChar w:fldCharType="separate"/>
        </w:r>
        <w:r w:rsidR="002E4441" w:rsidRPr="00253E57">
          <w:rPr>
            <w:noProof/>
            <w:webHidden/>
          </w:rPr>
          <w:t>2</w:t>
        </w:r>
        <w:r w:rsidR="002E4441" w:rsidRPr="00253E57">
          <w:rPr>
            <w:noProof/>
            <w:webHidden/>
          </w:rPr>
          <w:fldChar w:fldCharType="end"/>
        </w:r>
      </w:hyperlink>
    </w:p>
    <w:p w14:paraId="61A09BA5" w14:textId="77777777" w:rsidR="002E4441" w:rsidRPr="00253E57" w:rsidRDefault="00AC45AB">
      <w:pPr>
        <w:pStyle w:val="TOC2"/>
        <w:rPr>
          <w:rFonts w:ascii="Calibri" w:eastAsia="SimSun" w:hAnsi="Calibri"/>
          <w:szCs w:val="22"/>
          <w:lang w:eastAsia="zh-CN"/>
        </w:rPr>
      </w:pPr>
      <w:hyperlink w:anchor="_Toc267466214" w:history="1">
        <w:r w:rsidR="002E4441" w:rsidRPr="00253E57">
          <w:rPr>
            <w:rStyle w:val="Hyperlink"/>
          </w:rPr>
          <w:t>2.1.</w:t>
        </w:r>
        <w:r w:rsidR="002E4441" w:rsidRPr="00253E57">
          <w:rPr>
            <w:rFonts w:ascii="Calibri" w:eastAsia="SimSun" w:hAnsi="Calibri"/>
            <w:szCs w:val="22"/>
            <w:lang w:eastAsia="zh-CN"/>
          </w:rPr>
          <w:tab/>
        </w:r>
        <w:r w:rsidR="002E4441" w:rsidRPr="00253E57">
          <w:rPr>
            <w:rStyle w:val="Hyperlink"/>
          </w:rPr>
          <w:t>Indian Health Service</w:t>
        </w:r>
        <w:r w:rsidR="002E4441" w:rsidRPr="00253E57">
          <w:rPr>
            <w:webHidden/>
          </w:rPr>
          <w:tab/>
        </w:r>
        <w:r w:rsidR="002E4441" w:rsidRPr="00253E57">
          <w:rPr>
            <w:webHidden/>
          </w:rPr>
          <w:fldChar w:fldCharType="begin"/>
        </w:r>
        <w:r w:rsidR="002E4441" w:rsidRPr="00253E57">
          <w:rPr>
            <w:webHidden/>
          </w:rPr>
          <w:instrText xml:space="preserve"> PAGEREF _Toc267466214 \h </w:instrText>
        </w:r>
        <w:r w:rsidR="002E4441" w:rsidRPr="00253E57">
          <w:rPr>
            <w:webHidden/>
          </w:rPr>
        </w:r>
        <w:r w:rsidR="002E4441" w:rsidRPr="00253E57">
          <w:rPr>
            <w:webHidden/>
          </w:rPr>
          <w:fldChar w:fldCharType="separate"/>
        </w:r>
        <w:r w:rsidR="002E4441" w:rsidRPr="00253E57">
          <w:rPr>
            <w:webHidden/>
          </w:rPr>
          <w:t>2</w:t>
        </w:r>
        <w:r w:rsidR="002E4441" w:rsidRPr="00253E57">
          <w:rPr>
            <w:webHidden/>
          </w:rPr>
          <w:fldChar w:fldCharType="end"/>
        </w:r>
      </w:hyperlink>
    </w:p>
    <w:p w14:paraId="697FFFED" w14:textId="77777777" w:rsidR="002E4441" w:rsidRPr="00253E57" w:rsidRDefault="00AC45AB">
      <w:pPr>
        <w:pStyle w:val="TOC2"/>
        <w:rPr>
          <w:rFonts w:ascii="Calibri" w:eastAsia="SimSun" w:hAnsi="Calibri"/>
          <w:szCs w:val="22"/>
          <w:lang w:eastAsia="zh-CN"/>
        </w:rPr>
      </w:pPr>
      <w:hyperlink w:anchor="_Toc267466215" w:history="1">
        <w:r w:rsidR="002E4441" w:rsidRPr="00253E57">
          <w:rPr>
            <w:rStyle w:val="Hyperlink"/>
          </w:rPr>
          <w:t>2.2.</w:t>
        </w:r>
        <w:r w:rsidR="002E4441" w:rsidRPr="00253E57">
          <w:rPr>
            <w:rFonts w:ascii="Calibri" w:eastAsia="SimSun" w:hAnsi="Calibri"/>
            <w:szCs w:val="22"/>
            <w:lang w:eastAsia="zh-CN"/>
          </w:rPr>
          <w:tab/>
        </w:r>
        <w:r w:rsidR="002E4441" w:rsidRPr="00253E57">
          <w:rPr>
            <w:rStyle w:val="Hyperlink"/>
          </w:rPr>
          <w:t>Section 508 Compliance</w:t>
        </w:r>
        <w:r w:rsidR="002E4441" w:rsidRPr="00253E57">
          <w:rPr>
            <w:webHidden/>
          </w:rPr>
          <w:tab/>
        </w:r>
        <w:r w:rsidR="002E4441" w:rsidRPr="00253E57">
          <w:rPr>
            <w:webHidden/>
          </w:rPr>
          <w:fldChar w:fldCharType="begin"/>
        </w:r>
        <w:r w:rsidR="002E4441" w:rsidRPr="00253E57">
          <w:rPr>
            <w:webHidden/>
          </w:rPr>
          <w:instrText xml:space="preserve"> PAGEREF _Toc267466215 \h </w:instrText>
        </w:r>
        <w:r w:rsidR="002E4441" w:rsidRPr="00253E57">
          <w:rPr>
            <w:webHidden/>
          </w:rPr>
        </w:r>
        <w:r w:rsidR="002E4441" w:rsidRPr="00253E57">
          <w:rPr>
            <w:webHidden/>
          </w:rPr>
          <w:fldChar w:fldCharType="separate"/>
        </w:r>
        <w:r w:rsidR="002E4441" w:rsidRPr="00253E57">
          <w:rPr>
            <w:webHidden/>
          </w:rPr>
          <w:t>2</w:t>
        </w:r>
        <w:r w:rsidR="002E4441" w:rsidRPr="00253E57">
          <w:rPr>
            <w:webHidden/>
          </w:rPr>
          <w:fldChar w:fldCharType="end"/>
        </w:r>
      </w:hyperlink>
    </w:p>
    <w:p w14:paraId="6E8A1205" w14:textId="77777777" w:rsidR="002E4441" w:rsidRPr="00253E57" w:rsidRDefault="00AC45AB">
      <w:pPr>
        <w:pStyle w:val="TOC1"/>
        <w:tabs>
          <w:tab w:val="left" w:pos="432"/>
          <w:tab w:val="right" w:leader="dot" w:pos="9350"/>
        </w:tabs>
        <w:rPr>
          <w:rFonts w:ascii="Calibri" w:eastAsia="SimSun" w:hAnsi="Calibri"/>
          <w:b w:val="0"/>
          <w:noProof/>
          <w:sz w:val="22"/>
          <w:szCs w:val="22"/>
          <w:lang w:eastAsia="zh-CN"/>
        </w:rPr>
      </w:pPr>
      <w:hyperlink w:anchor="_Toc267466216" w:history="1">
        <w:r w:rsidR="002E4441" w:rsidRPr="00253E57">
          <w:rPr>
            <w:rStyle w:val="Hyperlink"/>
            <w:noProof/>
          </w:rPr>
          <w:t>3.</w:t>
        </w:r>
        <w:r w:rsidR="002E4441" w:rsidRPr="00253E57">
          <w:rPr>
            <w:rFonts w:ascii="Calibri" w:eastAsia="SimSun" w:hAnsi="Calibri"/>
            <w:b w:val="0"/>
            <w:noProof/>
            <w:sz w:val="22"/>
            <w:szCs w:val="22"/>
            <w:lang w:eastAsia="zh-CN"/>
          </w:rPr>
          <w:tab/>
        </w:r>
        <w:r w:rsidR="002E4441" w:rsidRPr="00253E57">
          <w:rPr>
            <w:rStyle w:val="Hyperlink"/>
            <w:noProof/>
          </w:rPr>
          <w:t>New Features</w:t>
        </w:r>
        <w:r w:rsidR="002E4441" w:rsidRPr="00253E57">
          <w:rPr>
            <w:noProof/>
            <w:webHidden/>
          </w:rPr>
          <w:tab/>
        </w:r>
        <w:r w:rsidR="002E4441" w:rsidRPr="00253E57">
          <w:rPr>
            <w:noProof/>
            <w:webHidden/>
          </w:rPr>
          <w:fldChar w:fldCharType="begin"/>
        </w:r>
        <w:r w:rsidR="002E4441" w:rsidRPr="00253E57">
          <w:rPr>
            <w:noProof/>
            <w:webHidden/>
          </w:rPr>
          <w:instrText xml:space="preserve"> PAGEREF _Toc267466216 \h </w:instrText>
        </w:r>
        <w:r w:rsidR="002E4441" w:rsidRPr="00253E57">
          <w:rPr>
            <w:noProof/>
            <w:webHidden/>
          </w:rPr>
        </w:r>
        <w:r w:rsidR="002E4441" w:rsidRPr="00253E57">
          <w:rPr>
            <w:noProof/>
            <w:webHidden/>
          </w:rPr>
          <w:fldChar w:fldCharType="separate"/>
        </w:r>
        <w:r w:rsidR="002E4441" w:rsidRPr="00253E57">
          <w:rPr>
            <w:noProof/>
            <w:webHidden/>
          </w:rPr>
          <w:t>3</w:t>
        </w:r>
        <w:r w:rsidR="002E4441" w:rsidRPr="00253E57">
          <w:rPr>
            <w:noProof/>
            <w:webHidden/>
          </w:rPr>
          <w:fldChar w:fldCharType="end"/>
        </w:r>
      </w:hyperlink>
    </w:p>
    <w:p w14:paraId="41E22B60" w14:textId="77777777" w:rsidR="002E4441" w:rsidRPr="00253E57" w:rsidRDefault="00AC45AB">
      <w:pPr>
        <w:pStyle w:val="TOC2"/>
        <w:rPr>
          <w:rFonts w:ascii="Calibri" w:eastAsia="SimSun" w:hAnsi="Calibri"/>
          <w:szCs w:val="22"/>
          <w:lang w:eastAsia="zh-CN"/>
        </w:rPr>
      </w:pPr>
      <w:hyperlink w:anchor="_Toc267466217" w:history="1">
        <w:r w:rsidR="002E4441" w:rsidRPr="00253E57">
          <w:rPr>
            <w:rStyle w:val="Hyperlink"/>
          </w:rPr>
          <w:t>3.1.</w:t>
        </w:r>
        <w:r w:rsidR="002E4441" w:rsidRPr="00253E57">
          <w:rPr>
            <w:rFonts w:ascii="Calibri" w:eastAsia="SimSun" w:hAnsi="Calibri"/>
            <w:szCs w:val="22"/>
            <w:lang w:eastAsia="zh-CN"/>
          </w:rPr>
          <w:tab/>
        </w:r>
        <w:r w:rsidR="002E4441" w:rsidRPr="00253E57">
          <w:rPr>
            <w:rStyle w:val="Hyperlink"/>
          </w:rPr>
          <w:t>Indian Health Service</w:t>
        </w:r>
        <w:r w:rsidR="002E4441" w:rsidRPr="00253E57">
          <w:rPr>
            <w:webHidden/>
          </w:rPr>
          <w:tab/>
        </w:r>
        <w:r w:rsidR="002E4441" w:rsidRPr="00253E57">
          <w:rPr>
            <w:webHidden/>
          </w:rPr>
          <w:fldChar w:fldCharType="begin"/>
        </w:r>
        <w:r w:rsidR="002E4441" w:rsidRPr="00253E57">
          <w:rPr>
            <w:webHidden/>
          </w:rPr>
          <w:instrText xml:space="preserve"> PAGEREF _Toc267466217 \h </w:instrText>
        </w:r>
        <w:r w:rsidR="002E4441" w:rsidRPr="00253E57">
          <w:rPr>
            <w:webHidden/>
          </w:rPr>
        </w:r>
        <w:r w:rsidR="002E4441" w:rsidRPr="00253E57">
          <w:rPr>
            <w:webHidden/>
          </w:rPr>
          <w:fldChar w:fldCharType="separate"/>
        </w:r>
        <w:r w:rsidR="002E4441" w:rsidRPr="00253E57">
          <w:rPr>
            <w:webHidden/>
          </w:rPr>
          <w:t>3</w:t>
        </w:r>
        <w:r w:rsidR="002E4441" w:rsidRPr="00253E57">
          <w:rPr>
            <w:webHidden/>
          </w:rPr>
          <w:fldChar w:fldCharType="end"/>
        </w:r>
      </w:hyperlink>
    </w:p>
    <w:p w14:paraId="1CA6C889" w14:textId="77777777" w:rsidR="002E4441" w:rsidRPr="00253E57" w:rsidRDefault="00AC45AB">
      <w:pPr>
        <w:pStyle w:val="TOC2"/>
        <w:rPr>
          <w:rFonts w:ascii="Calibri" w:eastAsia="SimSun" w:hAnsi="Calibri"/>
          <w:szCs w:val="22"/>
          <w:lang w:eastAsia="zh-CN"/>
        </w:rPr>
      </w:pPr>
      <w:hyperlink w:anchor="_Toc267466218" w:history="1">
        <w:r w:rsidR="002E4441" w:rsidRPr="00253E57">
          <w:rPr>
            <w:rStyle w:val="Hyperlink"/>
          </w:rPr>
          <w:t>3.2.</w:t>
        </w:r>
        <w:r w:rsidR="002E4441" w:rsidRPr="00253E57">
          <w:rPr>
            <w:rFonts w:ascii="Calibri" w:eastAsia="SimSun" w:hAnsi="Calibri"/>
            <w:szCs w:val="22"/>
            <w:lang w:eastAsia="zh-CN"/>
          </w:rPr>
          <w:tab/>
        </w:r>
        <w:r w:rsidR="002E4441" w:rsidRPr="00253E57">
          <w:rPr>
            <w:rStyle w:val="Hyperlink"/>
          </w:rPr>
          <w:t>Section 508 Compliance</w:t>
        </w:r>
        <w:r w:rsidR="002E4441" w:rsidRPr="00253E57">
          <w:rPr>
            <w:webHidden/>
          </w:rPr>
          <w:tab/>
        </w:r>
        <w:r w:rsidR="002E4441" w:rsidRPr="00253E57">
          <w:rPr>
            <w:webHidden/>
          </w:rPr>
          <w:fldChar w:fldCharType="begin"/>
        </w:r>
        <w:r w:rsidR="002E4441" w:rsidRPr="00253E57">
          <w:rPr>
            <w:webHidden/>
          </w:rPr>
          <w:instrText xml:space="preserve"> PAGEREF _Toc267466218 \h </w:instrText>
        </w:r>
        <w:r w:rsidR="002E4441" w:rsidRPr="00253E57">
          <w:rPr>
            <w:webHidden/>
          </w:rPr>
        </w:r>
        <w:r w:rsidR="002E4441" w:rsidRPr="00253E57">
          <w:rPr>
            <w:webHidden/>
          </w:rPr>
          <w:fldChar w:fldCharType="separate"/>
        </w:r>
        <w:r w:rsidR="002E4441" w:rsidRPr="00253E57">
          <w:rPr>
            <w:webHidden/>
          </w:rPr>
          <w:t>5</w:t>
        </w:r>
        <w:r w:rsidR="002E4441" w:rsidRPr="00253E57">
          <w:rPr>
            <w:webHidden/>
          </w:rPr>
          <w:fldChar w:fldCharType="end"/>
        </w:r>
      </w:hyperlink>
    </w:p>
    <w:p w14:paraId="4567EE42" w14:textId="77777777" w:rsidR="002E4441" w:rsidRPr="00253E57" w:rsidRDefault="00AC45AB">
      <w:pPr>
        <w:pStyle w:val="TOC2"/>
        <w:rPr>
          <w:rFonts w:ascii="Calibri" w:eastAsia="SimSun" w:hAnsi="Calibri"/>
          <w:szCs w:val="22"/>
          <w:lang w:eastAsia="zh-CN"/>
        </w:rPr>
      </w:pPr>
      <w:hyperlink w:anchor="_Toc267466219" w:history="1">
        <w:r w:rsidR="002E4441" w:rsidRPr="00253E57">
          <w:rPr>
            <w:rStyle w:val="Hyperlink"/>
          </w:rPr>
          <w:t>3.3.</w:t>
        </w:r>
        <w:r w:rsidR="002E4441" w:rsidRPr="00253E57">
          <w:rPr>
            <w:rFonts w:ascii="Calibri" w:eastAsia="SimSun" w:hAnsi="Calibri"/>
            <w:szCs w:val="22"/>
            <w:lang w:eastAsia="zh-CN"/>
          </w:rPr>
          <w:tab/>
        </w:r>
        <w:r w:rsidR="002E4441" w:rsidRPr="00253E57">
          <w:rPr>
            <w:rStyle w:val="Hyperlink"/>
          </w:rPr>
          <w:t>BCMA Site Parameters Application</w:t>
        </w:r>
        <w:r w:rsidR="002E4441" w:rsidRPr="00253E57">
          <w:rPr>
            <w:webHidden/>
          </w:rPr>
          <w:tab/>
        </w:r>
        <w:r w:rsidR="002E4441" w:rsidRPr="00253E57">
          <w:rPr>
            <w:webHidden/>
          </w:rPr>
          <w:fldChar w:fldCharType="begin"/>
        </w:r>
        <w:r w:rsidR="002E4441" w:rsidRPr="00253E57">
          <w:rPr>
            <w:webHidden/>
          </w:rPr>
          <w:instrText xml:space="preserve"> PAGEREF _Toc267466219 \h </w:instrText>
        </w:r>
        <w:r w:rsidR="002E4441" w:rsidRPr="00253E57">
          <w:rPr>
            <w:webHidden/>
          </w:rPr>
        </w:r>
        <w:r w:rsidR="002E4441" w:rsidRPr="00253E57">
          <w:rPr>
            <w:webHidden/>
          </w:rPr>
          <w:fldChar w:fldCharType="separate"/>
        </w:r>
        <w:r w:rsidR="002E4441" w:rsidRPr="00253E57">
          <w:rPr>
            <w:webHidden/>
          </w:rPr>
          <w:t>6</w:t>
        </w:r>
        <w:r w:rsidR="002E4441" w:rsidRPr="00253E57">
          <w:rPr>
            <w:webHidden/>
          </w:rPr>
          <w:fldChar w:fldCharType="end"/>
        </w:r>
      </w:hyperlink>
    </w:p>
    <w:p w14:paraId="3F2C468C" w14:textId="77777777" w:rsidR="002E4441" w:rsidRPr="00253E57" w:rsidRDefault="00AC45AB">
      <w:pPr>
        <w:pStyle w:val="TOC1"/>
        <w:tabs>
          <w:tab w:val="left" w:pos="432"/>
          <w:tab w:val="right" w:leader="dot" w:pos="9350"/>
        </w:tabs>
        <w:rPr>
          <w:rFonts w:ascii="Calibri" w:eastAsia="SimSun" w:hAnsi="Calibri"/>
          <w:b w:val="0"/>
          <w:noProof/>
          <w:sz w:val="22"/>
          <w:szCs w:val="22"/>
          <w:lang w:eastAsia="zh-CN"/>
        </w:rPr>
      </w:pPr>
      <w:hyperlink w:anchor="_Toc267466220" w:history="1">
        <w:r w:rsidR="002E4441" w:rsidRPr="00253E57">
          <w:rPr>
            <w:rStyle w:val="Hyperlink"/>
            <w:noProof/>
          </w:rPr>
          <w:t>4.</w:t>
        </w:r>
        <w:r w:rsidR="002E4441" w:rsidRPr="00253E57">
          <w:rPr>
            <w:rFonts w:ascii="Calibri" w:eastAsia="SimSun" w:hAnsi="Calibri"/>
            <w:b w:val="0"/>
            <w:noProof/>
            <w:sz w:val="22"/>
            <w:szCs w:val="22"/>
            <w:lang w:eastAsia="zh-CN"/>
          </w:rPr>
          <w:tab/>
        </w:r>
        <w:r w:rsidR="002E4441" w:rsidRPr="00253E57">
          <w:rPr>
            <w:rStyle w:val="Hyperlink"/>
            <w:noProof/>
          </w:rPr>
          <w:t>VMP Corrections</w:t>
        </w:r>
        <w:r w:rsidR="002E4441" w:rsidRPr="00253E57">
          <w:rPr>
            <w:noProof/>
            <w:webHidden/>
          </w:rPr>
          <w:tab/>
        </w:r>
        <w:r w:rsidR="002E4441" w:rsidRPr="00253E57">
          <w:rPr>
            <w:noProof/>
            <w:webHidden/>
          </w:rPr>
          <w:fldChar w:fldCharType="begin"/>
        </w:r>
        <w:r w:rsidR="002E4441" w:rsidRPr="00253E57">
          <w:rPr>
            <w:noProof/>
            <w:webHidden/>
          </w:rPr>
          <w:instrText xml:space="preserve"> PAGEREF _Toc267466220 \h </w:instrText>
        </w:r>
        <w:r w:rsidR="002E4441" w:rsidRPr="00253E57">
          <w:rPr>
            <w:noProof/>
            <w:webHidden/>
          </w:rPr>
        </w:r>
        <w:r w:rsidR="002E4441" w:rsidRPr="00253E57">
          <w:rPr>
            <w:noProof/>
            <w:webHidden/>
          </w:rPr>
          <w:fldChar w:fldCharType="separate"/>
        </w:r>
        <w:r w:rsidR="002E4441" w:rsidRPr="00253E57">
          <w:rPr>
            <w:noProof/>
            <w:webHidden/>
          </w:rPr>
          <w:t>7</w:t>
        </w:r>
        <w:r w:rsidR="002E4441" w:rsidRPr="00253E57">
          <w:rPr>
            <w:noProof/>
            <w:webHidden/>
          </w:rPr>
          <w:fldChar w:fldCharType="end"/>
        </w:r>
      </w:hyperlink>
    </w:p>
    <w:p w14:paraId="209B4A45" w14:textId="77777777" w:rsidR="002E4441" w:rsidRPr="00253E57" w:rsidRDefault="00AC45AB">
      <w:pPr>
        <w:pStyle w:val="TOC1"/>
        <w:tabs>
          <w:tab w:val="left" w:pos="432"/>
          <w:tab w:val="right" w:leader="dot" w:pos="9350"/>
        </w:tabs>
        <w:rPr>
          <w:rFonts w:ascii="Calibri" w:eastAsia="SimSun" w:hAnsi="Calibri"/>
          <w:b w:val="0"/>
          <w:noProof/>
          <w:sz w:val="22"/>
          <w:szCs w:val="22"/>
          <w:lang w:eastAsia="zh-CN"/>
        </w:rPr>
      </w:pPr>
      <w:hyperlink w:anchor="_Toc267466221" w:history="1">
        <w:r w:rsidR="002E4441" w:rsidRPr="00253E57">
          <w:rPr>
            <w:rStyle w:val="Hyperlink"/>
            <w:rFonts w:eastAsia="Arial Unicode MS"/>
            <w:noProof/>
          </w:rPr>
          <w:t>5.</w:t>
        </w:r>
        <w:r w:rsidR="002E4441" w:rsidRPr="00253E57">
          <w:rPr>
            <w:rFonts w:ascii="Calibri" w:eastAsia="SimSun" w:hAnsi="Calibri"/>
            <w:b w:val="0"/>
            <w:noProof/>
            <w:sz w:val="22"/>
            <w:szCs w:val="22"/>
            <w:lang w:eastAsia="zh-CN"/>
          </w:rPr>
          <w:tab/>
        </w:r>
        <w:r w:rsidR="002E4441" w:rsidRPr="00253E57">
          <w:rPr>
            <w:rStyle w:val="Hyperlink"/>
            <w:noProof/>
          </w:rPr>
          <w:t>BCMA Online Help Update</w:t>
        </w:r>
        <w:r w:rsidR="002E4441" w:rsidRPr="00253E57">
          <w:rPr>
            <w:noProof/>
            <w:webHidden/>
          </w:rPr>
          <w:tab/>
        </w:r>
        <w:r w:rsidR="002E4441" w:rsidRPr="00253E57">
          <w:rPr>
            <w:noProof/>
            <w:webHidden/>
          </w:rPr>
          <w:fldChar w:fldCharType="begin"/>
        </w:r>
        <w:r w:rsidR="002E4441" w:rsidRPr="00253E57">
          <w:rPr>
            <w:noProof/>
            <w:webHidden/>
          </w:rPr>
          <w:instrText xml:space="preserve"> PAGEREF _Toc267466221 \h </w:instrText>
        </w:r>
        <w:r w:rsidR="002E4441" w:rsidRPr="00253E57">
          <w:rPr>
            <w:noProof/>
            <w:webHidden/>
          </w:rPr>
        </w:r>
        <w:r w:rsidR="002E4441" w:rsidRPr="00253E57">
          <w:rPr>
            <w:noProof/>
            <w:webHidden/>
          </w:rPr>
          <w:fldChar w:fldCharType="separate"/>
        </w:r>
        <w:r w:rsidR="002E4441" w:rsidRPr="00253E57">
          <w:rPr>
            <w:noProof/>
            <w:webHidden/>
          </w:rPr>
          <w:t>11</w:t>
        </w:r>
        <w:r w:rsidR="002E4441" w:rsidRPr="00253E57">
          <w:rPr>
            <w:noProof/>
            <w:webHidden/>
          </w:rPr>
          <w:fldChar w:fldCharType="end"/>
        </w:r>
      </w:hyperlink>
    </w:p>
    <w:p w14:paraId="007CF1A4" w14:textId="77777777" w:rsidR="008D7643" w:rsidRPr="00253E57" w:rsidRDefault="008D7643">
      <w:r w:rsidRPr="00253E57">
        <w:fldChar w:fldCharType="end"/>
      </w:r>
    </w:p>
    <w:p w14:paraId="544ED95F" w14:textId="77777777" w:rsidR="008D7643" w:rsidRPr="00253E57" w:rsidRDefault="008D7643">
      <w:pPr>
        <w:spacing w:line="216" w:lineRule="auto"/>
      </w:pPr>
    </w:p>
    <w:p w14:paraId="6FF60593" w14:textId="77777777" w:rsidR="008D7643" w:rsidRPr="00253E57" w:rsidRDefault="008D7643" w:rsidP="0096369B">
      <w:pPr>
        <w:pStyle w:val="Heading3"/>
        <w:sectPr w:rsidR="008D7643" w:rsidRPr="00253E57">
          <w:footerReference w:type="even" r:id="rId9"/>
          <w:footerReference w:type="first" r:id="rId10"/>
          <w:pgSz w:w="12240" w:h="15840" w:code="1"/>
          <w:pgMar w:top="1440" w:right="1440" w:bottom="1440" w:left="1440" w:header="720" w:footer="720" w:gutter="0"/>
          <w:pgNumType w:fmt="lowerRoman" w:start="1"/>
          <w:cols w:space="720"/>
          <w:titlePg/>
        </w:sectPr>
      </w:pPr>
      <w:bookmarkStart w:id="0" w:name="_Toc508074963"/>
    </w:p>
    <w:p w14:paraId="4C40CB91" w14:textId="77777777" w:rsidR="008D7643" w:rsidRPr="00253E57" w:rsidRDefault="008D7643">
      <w:pPr>
        <w:jc w:val="center"/>
        <w:rPr>
          <w:i/>
        </w:rPr>
      </w:pPr>
      <w:r w:rsidRPr="00253E57">
        <w:rPr>
          <w:i/>
        </w:rPr>
        <w:lastRenderedPageBreak/>
        <w:t>(This page included for two-sided copying.)</w:t>
      </w:r>
    </w:p>
    <w:p w14:paraId="6CCE5A8E" w14:textId="77777777" w:rsidR="00A262F9" w:rsidRPr="00253E57" w:rsidRDefault="00A262F9" w:rsidP="00A262F9"/>
    <w:p w14:paraId="4374F478" w14:textId="77777777" w:rsidR="000E16FC" w:rsidRPr="00253E57" w:rsidRDefault="000E16FC">
      <w:pPr>
        <w:pStyle w:val="Heading1"/>
        <w:numPr>
          <w:ilvl w:val="0"/>
          <w:numId w:val="0"/>
        </w:numPr>
      </w:pPr>
    </w:p>
    <w:p w14:paraId="78D3753C" w14:textId="77777777" w:rsidR="000E16FC" w:rsidRPr="00253E57" w:rsidRDefault="000E16FC" w:rsidP="000E16FC"/>
    <w:p w14:paraId="6345703D" w14:textId="77777777" w:rsidR="000E16FC" w:rsidRPr="00253E57" w:rsidRDefault="000E16FC" w:rsidP="000E16FC"/>
    <w:p w14:paraId="79EFAE4C" w14:textId="77777777" w:rsidR="000E16FC" w:rsidRPr="00253E57" w:rsidRDefault="000E16FC" w:rsidP="000E16FC"/>
    <w:p w14:paraId="7AFE8727" w14:textId="77777777" w:rsidR="000E16FC" w:rsidRPr="00253E57" w:rsidRDefault="000E16FC" w:rsidP="000E16FC"/>
    <w:p w14:paraId="1193D297" w14:textId="77777777" w:rsidR="000E16FC" w:rsidRPr="00253E57" w:rsidRDefault="000E16FC" w:rsidP="000E16FC"/>
    <w:p w14:paraId="6F02A23A" w14:textId="77777777" w:rsidR="000E16FC" w:rsidRPr="00253E57" w:rsidRDefault="000E16FC" w:rsidP="000E16FC"/>
    <w:p w14:paraId="53166DD3" w14:textId="77777777" w:rsidR="000E16FC" w:rsidRPr="00253E57" w:rsidRDefault="000E16FC" w:rsidP="000E16FC"/>
    <w:p w14:paraId="1E802114" w14:textId="77777777" w:rsidR="000E16FC" w:rsidRPr="00253E57" w:rsidRDefault="000E16FC" w:rsidP="000E16FC"/>
    <w:p w14:paraId="3481C58C" w14:textId="77777777" w:rsidR="000E16FC" w:rsidRPr="00253E57" w:rsidRDefault="000E16FC" w:rsidP="000E16FC"/>
    <w:p w14:paraId="7184580F" w14:textId="77777777" w:rsidR="000E16FC" w:rsidRPr="00253E57" w:rsidRDefault="000E16FC" w:rsidP="000E16FC"/>
    <w:p w14:paraId="7D332D3C" w14:textId="77777777" w:rsidR="000E16FC" w:rsidRPr="00253E57" w:rsidRDefault="000E16FC" w:rsidP="000E16FC">
      <w:pPr>
        <w:tabs>
          <w:tab w:val="left" w:pos="6705"/>
        </w:tabs>
      </w:pPr>
      <w:r w:rsidRPr="00253E57">
        <w:tab/>
      </w:r>
    </w:p>
    <w:p w14:paraId="2F5B4551" w14:textId="77777777" w:rsidR="000E16FC" w:rsidRPr="00253E57" w:rsidRDefault="000E16FC" w:rsidP="000E16FC"/>
    <w:p w14:paraId="5B7F0B44" w14:textId="77777777" w:rsidR="008D7643" w:rsidRPr="00253E57" w:rsidRDefault="008D7643" w:rsidP="000E16FC">
      <w:pPr>
        <w:sectPr w:rsidR="008D7643" w:rsidRPr="00253E57">
          <w:footerReference w:type="even" r:id="rId11"/>
          <w:footerReference w:type="default" r:id="rId12"/>
          <w:pgSz w:w="12240" w:h="15840"/>
          <w:pgMar w:top="1440" w:right="1440" w:bottom="1440" w:left="1440" w:header="720" w:footer="720" w:gutter="0"/>
          <w:pgNumType w:fmt="lowerRoman"/>
          <w:cols w:space="720"/>
        </w:sectPr>
      </w:pPr>
    </w:p>
    <w:p w14:paraId="33E01D8D" w14:textId="77777777" w:rsidR="008D7643" w:rsidRPr="00253E57" w:rsidRDefault="008D7643" w:rsidP="005C066D">
      <w:pPr>
        <w:pStyle w:val="Heading1"/>
        <w:ind w:left="0"/>
      </w:pPr>
      <w:bookmarkStart w:id="1" w:name="_Toc267466212"/>
      <w:r w:rsidRPr="00253E57">
        <w:lastRenderedPageBreak/>
        <w:t>Introduction</w:t>
      </w:r>
      <w:bookmarkEnd w:id="0"/>
      <w:bookmarkEnd w:id="1"/>
    </w:p>
    <w:p w14:paraId="37DA68A4" w14:textId="77777777" w:rsidR="00F36293" w:rsidRPr="00253E57" w:rsidRDefault="00F36293" w:rsidP="00F36293"/>
    <w:p w14:paraId="50ED1AD1" w14:textId="77777777" w:rsidR="00F36293" w:rsidRPr="00253E57" w:rsidRDefault="00F36293" w:rsidP="00F36293">
      <w:r w:rsidRPr="00253E57">
        <w:t xml:space="preserve">This document provides a </w:t>
      </w:r>
      <w:r w:rsidR="00070907" w:rsidRPr="00253E57">
        <w:t>feature summary</w:t>
      </w:r>
      <w:r w:rsidRPr="00253E57">
        <w:t xml:space="preserve"> of the </w:t>
      </w:r>
      <w:r w:rsidR="00C1312D" w:rsidRPr="00253E57">
        <w:t>Indian Health Service – Parameterization of BCMA Patient Identifier and Section 508 Compliance for BCMA v3.0</w:t>
      </w:r>
      <w:r w:rsidR="005A6278" w:rsidRPr="00253E57">
        <w:t xml:space="preserve"> project</w:t>
      </w:r>
      <w:r w:rsidR="00697078" w:rsidRPr="00253E57">
        <w:t>, patch PSB*3*42</w:t>
      </w:r>
      <w:r w:rsidR="00B33870" w:rsidRPr="00253E57">
        <w:t>.</w:t>
      </w:r>
      <w:r w:rsidR="00A81F50" w:rsidRPr="00253E57">
        <w:t xml:space="preserve"> In addition</w:t>
      </w:r>
      <w:r w:rsidR="00697078" w:rsidRPr="00253E57">
        <w:t xml:space="preserve"> to the enhancements</w:t>
      </w:r>
      <w:r w:rsidR="00A81F50" w:rsidRPr="00253E57">
        <w:t>, several VMP Remedy Ticket corrections</w:t>
      </w:r>
      <w:r w:rsidR="00697078" w:rsidRPr="00253E57">
        <w:t xml:space="preserve"> have been included </w:t>
      </w:r>
      <w:r w:rsidR="00A81F50" w:rsidRPr="00253E57">
        <w:t>with this patch.</w:t>
      </w:r>
    </w:p>
    <w:p w14:paraId="332AA974" w14:textId="77777777" w:rsidR="006555CC" w:rsidRPr="00253E57" w:rsidRDefault="006555CC" w:rsidP="00F36293"/>
    <w:p w14:paraId="06B3A5B4" w14:textId="77777777" w:rsidR="00AD1BBF" w:rsidRPr="00253E57" w:rsidRDefault="00AD1BBF" w:rsidP="00AD1BBF">
      <w:pPr>
        <w:rPr>
          <w:b/>
          <w:sz w:val="28"/>
          <w:szCs w:val="28"/>
        </w:rPr>
      </w:pPr>
      <w:r w:rsidRPr="00253E57">
        <w:rPr>
          <w:b/>
          <w:sz w:val="28"/>
          <w:szCs w:val="28"/>
        </w:rPr>
        <w:t>Highlights</w:t>
      </w:r>
    </w:p>
    <w:p w14:paraId="34E8A6B5" w14:textId="77777777" w:rsidR="00AD1BBF" w:rsidRPr="00253E57" w:rsidRDefault="00AD1BBF" w:rsidP="00AD1BBF"/>
    <w:p w14:paraId="5C50500F" w14:textId="77777777" w:rsidR="00AD1BBF" w:rsidRPr="00253E57" w:rsidRDefault="00AD1BBF" w:rsidP="00A554BE">
      <w:pPr>
        <w:spacing w:after="120"/>
      </w:pPr>
      <w:r w:rsidRPr="00253E57">
        <w:rPr>
          <w:b/>
        </w:rPr>
        <w:t>Indian Health Service – Parameterization of BCMA Patient Identifier</w:t>
      </w:r>
    </w:p>
    <w:p w14:paraId="101C3548" w14:textId="77777777" w:rsidR="00AD1BBF" w:rsidRPr="00253E57" w:rsidRDefault="00AD1BBF" w:rsidP="00070907">
      <w:pPr>
        <w:pStyle w:val="BodyTextIndent2"/>
        <w:numPr>
          <w:ilvl w:val="0"/>
          <w:numId w:val="6"/>
        </w:numPr>
        <w:spacing w:after="120"/>
        <w:rPr>
          <w:bCs/>
          <w:szCs w:val="24"/>
        </w:rPr>
      </w:pPr>
      <w:r w:rsidRPr="00253E57">
        <w:rPr>
          <w:bCs/>
          <w:szCs w:val="24"/>
        </w:rPr>
        <w:t>Recognizes either VA or IHS Operational Environment</w:t>
      </w:r>
      <w:r w:rsidR="001D72BF" w:rsidRPr="00253E57">
        <w:rPr>
          <w:bCs/>
          <w:szCs w:val="24"/>
        </w:rPr>
        <w:t>.</w:t>
      </w:r>
    </w:p>
    <w:p w14:paraId="2534B8DD" w14:textId="77777777" w:rsidR="00A554BE" w:rsidRPr="00253E57" w:rsidRDefault="00070907" w:rsidP="00070907">
      <w:pPr>
        <w:pStyle w:val="BodyTextIndent2"/>
        <w:numPr>
          <w:ilvl w:val="0"/>
          <w:numId w:val="6"/>
        </w:numPr>
        <w:spacing w:after="120"/>
        <w:rPr>
          <w:bCs/>
          <w:szCs w:val="24"/>
        </w:rPr>
      </w:pPr>
      <w:bookmarkStart w:id="2" w:name="_Toc240685432"/>
      <w:bookmarkStart w:id="3" w:name="_Toc240685433"/>
      <w:bookmarkEnd w:id="2"/>
      <w:bookmarkEnd w:id="3"/>
      <w:r w:rsidRPr="00253E57">
        <w:rPr>
          <w:bCs/>
          <w:szCs w:val="24"/>
        </w:rPr>
        <w:t xml:space="preserve">In </w:t>
      </w:r>
      <w:r w:rsidR="00A554BE" w:rsidRPr="00253E57">
        <w:rPr>
          <w:bCs/>
          <w:szCs w:val="24"/>
        </w:rPr>
        <w:t xml:space="preserve">the </w:t>
      </w:r>
      <w:r w:rsidRPr="00253E57">
        <w:rPr>
          <w:bCs/>
          <w:szCs w:val="24"/>
        </w:rPr>
        <w:t>IH</w:t>
      </w:r>
      <w:r w:rsidR="00A554BE" w:rsidRPr="00253E57">
        <w:rPr>
          <w:bCs/>
          <w:szCs w:val="24"/>
        </w:rPr>
        <w:t>S environment:</w:t>
      </w:r>
    </w:p>
    <w:p w14:paraId="72A4C87B" w14:textId="77777777" w:rsidR="00AD1BBF" w:rsidRPr="00253E57" w:rsidRDefault="00A554BE" w:rsidP="00A554BE">
      <w:pPr>
        <w:pStyle w:val="BodyTextIndent2"/>
        <w:numPr>
          <w:ilvl w:val="1"/>
          <w:numId w:val="6"/>
        </w:numPr>
        <w:spacing w:after="120"/>
        <w:rPr>
          <w:bCs/>
          <w:szCs w:val="24"/>
        </w:rPr>
      </w:pPr>
      <w:r w:rsidRPr="00253E57">
        <w:rPr>
          <w:bCs/>
          <w:szCs w:val="24"/>
        </w:rPr>
        <w:t>D</w:t>
      </w:r>
      <w:r w:rsidR="00070907" w:rsidRPr="00253E57">
        <w:rPr>
          <w:bCs/>
          <w:szCs w:val="24"/>
        </w:rPr>
        <w:t xml:space="preserve">isplays and prints </w:t>
      </w:r>
      <w:r w:rsidRPr="00253E57">
        <w:rPr>
          <w:bCs/>
          <w:szCs w:val="24"/>
        </w:rPr>
        <w:t xml:space="preserve">the </w:t>
      </w:r>
      <w:r w:rsidR="00AD1BBF" w:rsidRPr="00253E57">
        <w:rPr>
          <w:bCs/>
          <w:szCs w:val="24"/>
        </w:rPr>
        <w:t>I</w:t>
      </w:r>
      <w:r w:rsidR="00697078" w:rsidRPr="00253E57">
        <w:rPr>
          <w:bCs/>
          <w:szCs w:val="24"/>
        </w:rPr>
        <w:t>H</w:t>
      </w:r>
      <w:r w:rsidR="00AD1BBF" w:rsidRPr="00253E57">
        <w:rPr>
          <w:bCs/>
          <w:szCs w:val="24"/>
        </w:rPr>
        <w:t>S patient identifier</w:t>
      </w:r>
      <w:r w:rsidRPr="00253E57">
        <w:rPr>
          <w:bCs/>
          <w:szCs w:val="24"/>
        </w:rPr>
        <w:t>, referred to as Health Record Number (HRN)</w:t>
      </w:r>
      <w:r w:rsidR="00070907" w:rsidRPr="00253E57">
        <w:rPr>
          <w:bCs/>
          <w:szCs w:val="24"/>
        </w:rPr>
        <w:t xml:space="preserve"> on applicable BCMA GUI screens</w:t>
      </w:r>
      <w:r w:rsidR="00604A4F" w:rsidRPr="00253E57">
        <w:rPr>
          <w:bCs/>
          <w:szCs w:val="24"/>
        </w:rPr>
        <w:t>,</w:t>
      </w:r>
      <w:r w:rsidR="00070907" w:rsidRPr="00253E57">
        <w:rPr>
          <w:bCs/>
          <w:szCs w:val="24"/>
        </w:rPr>
        <w:t xml:space="preserve"> reports</w:t>
      </w:r>
      <w:r w:rsidR="00604A4F" w:rsidRPr="00253E57">
        <w:rPr>
          <w:bCs/>
          <w:szCs w:val="24"/>
        </w:rPr>
        <w:t>, and e</w:t>
      </w:r>
      <w:r w:rsidRPr="00253E57">
        <w:rPr>
          <w:bCs/>
          <w:szCs w:val="24"/>
        </w:rPr>
        <w:t>-</w:t>
      </w:r>
      <w:r w:rsidR="00604A4F" w:rsidRPr="00253E57">
        <w:rPr>
          <w:bCs/>
          <w:szCs w:val="24"/>
        </w:rPr>
        <w:t>mail notifications.</w:t>
      </w:r>
    </w:p>
    <w:p w14:paraId="36ABFA7D" w14:textId="77777777" w:rsidR="00A554BE" w:rsidRPr="00253E57" w:rsidRDefault="00A554BE" w:rsidP="00A554BE">
      <w:pPr>
        <w:pStyle w:val="BodyTextIndent2"/>
        <w:numPr>
          <w:ilvl w:val="1"/>
          <w:numId w:val="6"/>
        </w:numPr>
        <w:spacing w:after="120"/>
        <w:rPr>
          <w:iCs/>
        </w:rPr>
      </w:pPr>
      <w:r w:rsidRPr="00253E57">
        <w:rPr>
          <w:iCs/>
        </w:rPr>
        <w:t>Displays the appropriate default Patient ID Label of “SSN” in the VA operating environment or “HRN” in the IHS operating environment.</w:t>
      </w:r>
    </w:p>
    <w:p w14:paraId="7EB56526" w14:textId="77777777" w:rsidR="00A554BE" w:rsidRPr="00253E57" w:rsidRDefault="00A554BE" w:rsidP="00A554BE">
      <w:pPr>
        <w:pStyle w:val="BodyTextIndent2"/>
        <w:numPr>
          <w:ilvl w:val="1"/>
          <w:numId w:val="6"/>
        </w:numPr>
        <w:spacing w:after="120"/>
        <w:rPr>
          <w:iCs/>
        </w:rPr>
      </w:pPr>
      <w:r w:rsidRPr="00253E57">
        <w:rPr>
          <w:iCs/>
        </w:rPr>
        <w:t>Provides a site parameter to customize the IHS Patient ID label to something other than “HRN.”</w:t>
      </w:r>
    </w:p>
    <w:p w14:paraId="0FF6578C" w14:textId="77777777" w:rsidR="00AD1BBF" w:rsidRPr="00253E57" w:rsidRDefault="00AD1BBF" w:rsidP="00A554BE">
      <w:pPr>
        <w:pStyle w:val="BodyTextIndent2"/>
        <w:numPr>
          <w:ilvl w:val="1"/>
          <w:numId w:val="6"/>
        </w:numPr>
        <w:spacing w:after="120"/>
        <w:rPr>
          <w:szCs w:val="24"/>
        </w:rPr>
      </w:pPr>
      <w:r w:rsidRPr="00253E57">
        <w:rPr>
          <w:szCs w:val="24"/>
        </w:rPr>
        <w:t>Recognizes either VA or IHS Vital Signs Application</w:t>
      </w:r>
      <w:r w:rsidR="001D72BF" w:rsidRPr="00253E57">
        <w:rPr>
          <w:szCs w:val="24"/>
        </w:rPr>
        <w:t>.</w:t>
      </w:r>
    </w:p>
    <w:p w14:paraId="78894955" w14:textId="77777777" w:rsidR="00AD1BBF" w:rsidRPr="00253E57" w:rsidRDefault="00AD1BBF" w:rsidP="00A554BE">
      <w:pPr>
        <w:pStyle w:val="BodyTextIndent2"/>
        <w:numPr>
          <w:ilvl w:val="1"/>
          <w:numId w:val="6"/>
        </w:numPr>
        <w:spacing w:after="120"/>
        <w:rPr>
          <w:szCs w:val="24"/>
        </w:rPr>
      </w:pPr>
      <w:r w:rsidRPr="00253E57">
        <w:rPr>
          <w:szCs w:val="24"/>
        </w:rPr>
        <w:t>Provides IHS Output Device Support</w:t>
      </w:r>
      <w:r w:rsidR="001D72BF" w:rsidRPr="00253E57">
        <w:rPr>
          <w:szCs w:val="24"/>
        </w:rPr>
        <w:t>.</w:t>
      </w:r>
    </w:p>
    <w:p w14:paraId="45CF39EA" w14:textId="77777777" w:rsidR="00AD1BBF" w:rsidRPr="00253E57" w:rsidRDefault="00AD1BBF" w:rsidP="00AD1BBF">
      <w:pPr>
        <w:pStyle w:val="BodyTextIndent2"/>
        <w:rPr>
          <w:b/>
          <w:iCs/>
        </w:rPr>
      </w:pPr>
    </w:p>
    <w:p w14:paraId="39ED9F8C" w14:textId="77777777" w:rsidR="00AD1BBF" w:rsidRPr="00253E57" w:rsidRDefault="00AD1BBF" w:rsidP="00A554BE">
      <w:pPr>
        <w:spacing w:after="120"/>
        <w:rPr>
          <w:b/>
        </w:rPr>
      </w:pPr>
      <w:r w:rsidRPr="00253E57">
        <w:rPr>
          <w:b/>
        </w:rPr>
        <w:t>Section 508 Compliance</w:t>
      </w:r>
    </w:p>
    <w:p w14:paraId="6C0E9A05" w14:textId="77777777" w:rsidR="00070907" w:rsidRPr="00253E57" w:rsidRDefault="00AD1BBF" w:rsidP="00070907">
      <w:pPr>
        <w:pStyle w:val="BodyTextIndent2"/>
        <w:numPr>
          <w:ilvl w:val="0"/>
          <w:numId w:val="6"/>
        </w:numPr>
        <w:spacing w:after="120"/>
        <w:rPr>
          <w:bCs/>
          <w:szCs w:val="24"/>
        </w:rPr>
      </w:pPr>
      <w:r w:rsidRPr="00253E57">
        <w:rPr>
          <w:bCs/>
          <w:szCs w:val="24"/>
        </w:rPr>
        <w:t xml:space="preserve">Recognizes JAWS Application </w:t>
      </w:r>
      <w:r w:rsidR="00070907" w:rsidRPr="00253E57">
        <w:rPr>
          <w:bCs/>
          <w:szCs w:val="24"/>
        </w:rPr>
        <w:t>when loading BCMA</w:t>
      </w:r>
      <w:r w:rsidR="001D72BF" w:rsidRPr="00253E57">
        <w:rPr>
          <w:bCs/>
          <w:szCs w:val="24"/>
        </w:rPr>
        <w:t>.</w:t>
      </w:r>
    </w:p>
    <w:p w14:paraId="07379BB2" w14:textId="77777777" w:rsidR="00AD1BBF" w:rsidRPr="00253E57" w:rsidRDefault="00070907" w:rsidP="00070907">
      <w:pPr>
        <w:pStyle w:val="BodyTextIndent2"/>
        <w:numPr>
          <w:ilvl w:val="0"/>
          <w:numId w:val="6"/>
        </w:numPr>
        <w:spacing w:after="120"/>
        <w:rPr>
          <w:bCs/>
          <w:szCs w:val="24"/>
        </w:rPr>
      </w:pPr>
      <w:r w:rsidRPr="00253E57">
        <w:rPr>
          <w:bCs/>
          <w:szCs w:val="24"/>
        </w:rPr>
        <w:t xml:space="preserve">Adds JAWS screen reader compatibility to the BCMA GUI VDL and </w:t>
      </w:r>
      <w:r w:rsidR="00AD1BBF" w:rsidRPr="00253E57">
        <w:rPr>
          <w:bCs/>
          <w:szCs w:val="24"/>
        </w:rPr>
        <w:t xml:space="preserve">Unit Dose, IVP/IVPB and IV </w:t>
      </w:r>
      <w:r w:rsidRPr="00253E57">
        <w:rPr>
          <w:bCs/>
          <w:szCs w:val="24"/>
        </w:rPr>
        <w:t>t</w:t>
      </w:r>
      <w:r w:rsidR="00AD1BBF" w:rsidRPr="00253E57">
        <w:rPr>
          <w:bCs/>
          <w:szCs w:val="24"/>
        </w:rPr>
        <w:t>abs</w:t>
      </w:r>
      <w:r w:rsidR="001D72BF" w:rsidRPr="00253E57">
        <w:rPr>
          <w:bCs/>
          <w:szCs w:val="24"/>
        </w:rPr>
        <w:t>.</w:t>
      </w:r>
    </w:p>
    <w:p w14:paraId="7B5CA219" w14:textId="77777777" w:rsidR="00070907" w:rsidRPr="00253E57" w:rsidRDefault="00070907" w:rsidP="00070907">
      <w:pPr>
        <w:pStyle w:val="BodyTextIndent2"/>
        <w:numPr>
          <w:ilvl w:val="0"/>
          <w:numId w:val="6"/>
        </w:numPr>
        <w:spacing w:after="120"/>
        <w:rPr>
          <w:bCs/>
          <w:szCs w:val="24"/>
        </w:rPr>
      </w:pPr>
      <w:r w:rsidRPr="00253E57">
        <w:rPr>
          <w:bCs/>
          <w:szCs w:val="24"/>
        </w:rPr>
        <w:t xml:space="preserve">Adds keyboard shortcuts, field focus, and modified tab order, where necessary, to enhance accessibility. </w:t>
      </w:r>
    </w:p>
    <w:p w14:paraId="2BC3A041" w14:textId="77777777" w:rsidR="00EE32C4" w:rsidRPr="00253E57" w:rsidRDefault="00EE32C4" w:rsidP="00AD1BBF">
      <w:pPr>
        <w:pStyle w:val="BodyTextIndent2"/>
        <w:ind w:left="1080"/>
        <w:rPr>
          <w:b/>
          <w:szCs w:val="24"/>
        </w:rPr>
      </w:pPr>
    </w:p>
    <w:p w14:paraId="0AE7AB2B" w14:textId="77777777" w:rsidR="00A554BE" w:rsidRPr="00253E57" w:rsidRDefault="00A554BE" w:rsidP="00A554BE">
      <w:pPr>
        <w:spacing w:after="120"/>
        <w:rPr>
          <w:b/>
        </w:rPr>
      </w:pPr>
      <w:r w:rsidRPr="00253E57">
        <w:rPr>
          <w:b/>
        </w:rPr>
        <w:t xml:space="preserve">VistA </w:t>
      </w:r>
      <w:r w:rsidR="00D904A2" w:rsidRPr="00253E57">
        <w:rPr>
          <w:b/>
        </w:rPr>
        <w:t>Maintenance</w:t>
      </w:r>
      <w:r w:rsidRPr="00253E57">
        <w:rPr>
          <w:b/>
        </w:rPr>
        <w:t xml:space="preserve"> Project (VMP) Corrections</w:t>
      </w:r>
    </w:p>
    <w:p w14:paraId="749E4405" w14:textId="77777777" w:rsidR="00A554BE" w:rsidRPr="00253E57" w:rsidRDefault="00A554BE" w:rsidP="00A554BE">
      <w:pPr>
        <w:pStyle w:val="BodyTextIndent2"/>
        <w:numPr>
          <w:ilvl w:val="0"/>
          <w:numId w:val="6"/>
        </w:numPr>
        <w:spacing w:after="120"/>
        <w:rPr>
          <w:bCs/>
          <w:szCs w:val="24"/>
        </w:rPr>
      </w:pPr>
      <w:r w:rsidRPr="00253E57">
        <w:rPr>
          <w:szCs w:val="24"/>
        </w:rPr>
        <w:t xml:space="preserve">Several Remedy tickets have been resolved by the VMP team and are included in this patch. </w:t>
      </w:r>
      <w:r w:rsidR="003B716F">
        <w:rPr>
          <w:szCs w:val="24"/>
        </w:rPr>
        <w:t>(See page 7.)</w:t>
      </w:r>
    </w:p>
    <w:p w14:paraId="76A464E1" w14:textId="77777777" w:rsidR="00A554BE" w:rsidRPr="00253E57" w:rsidRDefault="00A554BE" w:rsidP="00A554BE">
      <w:pPr>
        <w:rPr>
          <w:b/>
          <w:iCs/>
        </w:rPr>
      </w:pPr>
    </w:p>
    <w:p w14:paraId="1BBF0FB1" w14:textId="77777777" w:rsidR="00A554BE" w:rsidRPr="00253E57" w:rsidRDefault="00A554BE" w:rsidP="00A554BE">
      <w:pPr>
        <w:spacing w:after="120"/>
        <w:rPr>
          <w:b/>
        </w:rPr>
      </w:pPr>
      <w:r w:rsidRPr="00253E57">
        <w:rPr>
          <w:b/>
        </w:rPr>
        <w:t>BCMA Online Help System Update</w:t>
      </w:r>
    </w:p>
    <w:p w14:paraId="0BC9A7D6" w14:textId="77777777" w:rsidR="00A554BE" w:rsidRPr="00253E57" w:rsidRDefault="00A554BE" w:rsidP="00AD1BBF">
      <w:pPr>
        <w:pStyle w:val="BodyTextIndent2"/>
        <w:numPr>
          <w:ilvl w:val="0"/>
          <w:numId w:val="6"/>
        </w:numPr>
        <w:spacing w:after="120"/>
        <w:rPr>
          <w:b/>
          <w:szCs w:val="24"/>
        </w:rPr>
      </w:pPr>
      <w:r w:rsidRPr="00253E57">
        <w:t>The Online Help system has been updated for both the BCMA Client and Site Parameters application.</w:t>
      </w:r>
    </w:p>
    <w:p w14:paraId="52386880" w14:textId="77777777" w:rsidR="008D7643" w:rsidRPr="00253E57" w:rsidRDefault="00DD4FCF" w:rsidP="00EE32C4">
      <w:pPr>
        <w:pStyle w:val="Heading1"/>
        <w:ind w:left="0"/>
      </w:pPr>
      <w:r w:rsidRPr="00253E57">
        <w:br w:type="page"/>
      </w:r>
      <w:bookmarkStart w:id="4" w:name="_Toc267466213"/>
      <w:r w:rsidR="008D7643" w:rsidRPr="00253E57">
        <w:lastRenderedPageBreak/>
        <w:t>Enhancements</w:t>
      </w:r>
      <w:bookmarkEnd w:id="4"/>
    </w:p>
    <w:p w14:paraId="590DD356" w14:textId="77777777" w:rsidR="008D7643" w:rsidRPr="00253E57" w:rsidRDefault="008D7643">
      <w:pPr>
        <w:rPr>
          <w:sz w:val="22"/>
          <w:szCs w:val="22"/>
        </w:rPr>
      </w:pPr>
    </w:p>
    <w:p w14:paraId="0271661C" w14:textId="77777777" w:rsidR="004D2F8E" w:rsidRPr="00253E57" w:rsidRDefault="0076474C" w:rsidP="00495840">
      <w:pPr>
        <w:pStyle w:val="Heading2"/>
      </w:pPr>
      <w:bookmarkStart w:id="5" w:name="_Toc267466214"/>
      <w:r w:rsidRPr="00253E57">
        <w:t>Indian Health Service</w:t>
      </w:r>
      <w:bookmarkEnd w:id="5"/>
    </w:p>
    <w:p w14:paraId="5366E7CF" w14:textId="77777777" w:rsidR="00F0106B" w:rsidRPr="00253E57" w:rsidRDefault="00F0106B" w:rsidP="0076474C">
      <w:pPr>
        <w:rPr>
          <w:sz w:val="22"/>
          <w:szCs w:val="22"/>
        </w:rPr>
      </w:pPr>
    </w:p>
    <w:p w14:paraId="2DD7CD6A" w14:textId="77777777" w:rsidR="00AD1BBF" w:rsidRPr="00253E57" w:rsidRDefault="00AD1BBF" w:rsidP="00AD1BBF">
      <w:pPr>
        <w:pStyle w:val="BodyTextIndent2"/>
      </w:pPr>
      <w:r w:rsidRPr="00253E57">
        <w:t>The BCMA application is now able to determine if it is operating in the Indian Health Service (IHS) or Veterans Health Administration (VHA) environment and recognize and display the appropriate patient identifier. This enables a single version of BCMA to be maintained by VHA and be installed and operate in a “plug and play” fashion in an IHS or Tribal facility running Resource and Patient Management System (RPMS).</w:t>
      </w:r>
    </w:p>
    <w:p w14:paraId="4AF0247D" w14:textId="77777777" w:rsidR="0076474C" w:rsidRPr="00253E57" w:rsidRDefault="0076474C" w:rsidP="00F405A3">
      <w:pPr>
        <w:ind w:right="288"/>
        <w:jc w:val="right"/>
        <w:rPr>
          <w:sz w:val="22"/>
          <w:szCs w:val="22"/>
        </w:rPr>
      </w:pPr>
    </w:p>
    <w:p w14:paraId="79B4A619" w14:textId="77777777" w:rsidR="0076474C" w:rsidRPr="00253E57" w:rsidRDefault="0076474C" w:rsidP="00F405A3">
      <w:pPr>
        <w:pStyle w:val="BodyTextIndent2"/>
      </w:pPr>
      <w:r w:rsidRPr="00253E57">
        <w:t xml:space="preserve">BCMA </w:t>
      </w:r>
      <w:r w:rsidR="006F4B80" w:rsidRPr="00253E57">
        <w:t xml:space="preserve">principally interacts </w:t>
      </w:r>
      <w:r w:rsidRPr="00253E57">
        <w:t xml:space="preserve">with the Patient Information Management System (PIMS), Inpatient Pharmacy, and Order Entry/Results Reporting (OE/RR) packages. Each of these has a native VistA version and a modified </w:t>
      </w:r>
      <w:r w:rsidR="003866A2" w:rsidRPr="00253E57">
        <w:t>Resource and Patient Management system (</w:t>
      </w:r>
      <w:r w:rsidRPr="00253E57">
        <w:t>RPMS</w:t>
      </w:r>
      <w:r w:rsidR="003866A2" w:rsidRPr="00253E57">
        <w:t>)</w:t>
      </w:r>
      <w:r w:rsidRPr="00253E57">
        <w:t xml:space="preserve"> version maintained by IHS. </w:t>
      </w:r>
      <w:r w:rsidR="00EB558E" w:rsidRPr="00253E57">
        <w:t>With t</w:t>
      </w:r>
      <w:r w:rsidRPr="00253E57">
        <w:t>his enhancement</w:t>
      </w:r>
      <w:r w:rsidR="00EB558E" w:rsidRPr="00253E57">
        <w:t xml:space="preserve">, </w:t>
      </w:r>
      <w:r w:rsidRPr="00253E57">
        <w:t xml:space="preserve">BCMA </w:t>
      </w:r>
      <w:r w:rsidR="00EB558E" w:rsidRPr="00253E57">
        <w:t xml:space="preserve">is able </w:t>
      </w:r>
      <w:r w:rsidRPr="00253E57">
        <w:t>to work seamlessly alongside these packages regardless of the operating environment. In addition, the BCMA Graphical User Interface (GUI) display</w:t>
      </w:r>
      <w:r w:rsidR="003866A2" w:rsidRPr="00253E57">
        <w:t>s</w:t>
      </w:r>
      <w:r w:rsidR="00EB558E" w:rsidRPr="00253E57">
        <w:t xml:space="preserve"> </w:t>
      </w:r>
      <w:r w:rsidRPr="00253E57">
        <w:t>vital measurements from the Veterans Administration (VA) VITALS/MEASUREMENTS package or the PCC V MEASUREMENT files, if operating in an RPMS system.</w:t>
      </w:r>
      <w:bookmarkStart w:id="6" w:name="UserInterface"/>
      <w:bookmarkStart w:id="7" w:name="_Toc79889720"/>
      <w:bookmarkEnd w:id="6"/>
      <w:bookmarkEnd w:id="7"/>
    </w:p>
    <w:p w14:paraId="2255135B" w14:textId="77777777" w:rsidR="00E32541" w:rsidRPr="00253E57" w:rsidRDefault="0076474C" w:rsidP="009E278F">
      <w:pPr>
        <w:pStyle w:val="Heading2"/>
      </w:pPr>
      <w:bookmarkStart w:id="8" w:name="_Toc267466215"/>
      <w:r w:rsidRPr="00253E57">
        <w:t>Section 508 Compliance</w:t>
      </w:r>
      <w:bookmarkEnd w:id="8"/>
    </w:p>
    <w:p w14:paraId="34D450B8" w14:textId="77777777" w:rsidR="00F0106B" w:rsidRPr="00253E57" w:rsidRDefault="00F0106B" w:rsidP="002F6016"/>
    <w:p w14:paraId="50296155" w14:textId="77777777" w:rsidR="002F6016" w:rsidRPr="00253E57" w:rsidRDefault="002F6016" w:rsidP="00F405A3">
      <w:pPr>
        <w:pStyle w:val="BodyTextIndent2"/>
      </w:pPr>
      <w:r w:rsidRPr="00253E57">
        <w:t>Section 508 of the Rehabilitation Act of 1973 and Rehabilitation Act Amendments of 1998 mandate</w:t>
      </w:r>
      <w:r w:rsidR="001D72BF" w:rsidRPr="00253E57">
        <w:t>s</w:t>
      </w:r>
      <w:r w:rsidRPr="00253E57">
        <w:t xml:space="preserve"> that all software developed by federal agencies allow access to and use of information and data by individuals with disabilities. The</w:t>
      </w:r>
      <w:r w:rsidR="003866A2" w:rsidRPr="00253E57">
        <w:t xml:space="preserve"> updated </w:t>
      </w:r>
      <w:r w:rsidRPr="00253E57">
        <w:t>BCMA V. 3.0 GUI ensure</w:t>
      </w:r>
      <w:r w:rsidR="003866A2" w:rsidRPr="00253E57">
        <w:t>s</w:t>
      </w:r>
      <w:r w:rsidRPr="00253E57">
        <w:t xml:space="preserve"> </w:t>
      </w:r>
      <w:r w:rsidR="003866A2" w:rsidRPr="00253E57">
        <w:t>c</w:t>
      </w:r>
      <w:r w:rsidRPr="00253E57">
        <w:t>ompliance with the requirements of the Section 508 Checklist for Software Applications and Operating Systems. Section 508 enhancements to BCMA ensure accessibility for color-blind, mobility-impaired, and visually-impaired users, without impacting software usability for sighted staff administer</w:t>
      </w:r>
      <w:r w:rsidR="00EB558E" w:rsidRPr="00253E57">
        <w:t>ing</w:t>
      </w:r>
      <w:r w:rsidRPr="00253E57">
        <w:t xml:space="preserve"> medications to patients.</w:t>
      </w:r>
    </w:p>
    <w:p w14:paraId="5E87E673" w14:textId="77777777" w:rsidR="002F6016" w:rsidRPr="00253E57" w:rsidRDefault="002F6016" w:rsidP="002F6016"/>
    <w:p w14:paraId="1EA0AB30" w14:textId="77777777" w:rsidR="002F6016" w:rsidRPr="00B15BB8" w:rsidRDefault="002F6016" w:rsidP="00B15BB8">
      <w:pPr>
        <w:pStyle w:val="BodyTextIndent2"/>
      </w:pPr>
      <w:r w:rsidRPr="00253E57">
        <w:t>The Delphi Components for Section 508 Compliance functionality and screen reader compatibility to the BCMA GUI VDL</w:t>
      </w:r>
      <w:r w:rsidR="003866A2" w:rsidRPr="00253E57">
        <w:t xml:space="preserve"> are</w:t>
      </w:r>
      <w:r w:rsidRPr="00253E57">
        <w:t xml:space="preserve"> incorporated </w:t>
      </w:r>
      <w:r w:rsidR="006F4B80" w:rsidRPr="00253E57">
        <w:t xml:space="preserve">in this enhancement </w:t>
      </w:r>
      <w:r w:rsidRPr="00253E57">
        <w:t>as required and specified by the</w:t>
      </w:r>
      <w:r w:rsidR="00EB558E" w:rsidRPr="00253E57">
        <w:t xml:space="preserve"> </w:t>
      </w:r>
      <w:r w:rsidRPr="00253E57">
        <w:t>VA Section 508 Compliance Office.</w:t>
      </w:r>
      <w:r w:rsidR="003866A2" w:rsidRPr="00253E57">
        <w:t xml:space="preserve"> </w:t>
      </w:r>
      <w:r w:rsidRPr="00253E57">
        <w:t xml:space="preserve">Section 508 Compliance requirements for software applications can be accessed via the following link: </w:t>
      </w:r>
      <w:r w:rsidR="00B15BB8">
        <w:rPr>
          <w:sz w:val="20"/>
          <w:highlight w:val="yellow"/>
        </w:rPr>
        <w:t>REDACTED</w:t>
      </w:r>
    </w:p>
    <w:p w14:paraId="14D40903" w14:textId="77777777" w:rsidR="006E7050" w:rsidRPr="00253E57" w:rsidRDefault="006E7050" w:rsidP="008E12FA">
      <w:pPr>
        <w:pStyle w:val="Heading1"/>
        <w:ind w:left="0"/>
        <w:sectPr w:rsidR="006E7050" w:rsidRPr="00253E57" w:rsidSect="00CE6610">
          <w:footerReference w:type="even" r:id="rId13"/>
          <w:footerReference w:type="default" r:id="rId14"/>
          <w:pgSz w:w="12240" w:h="15840"/>
          <w:pgMar w:top="1440" w:right="1440" w:bottom="1440" w:left="1440" w:header="720" w:footer="720" w:gutter="0"/>
          <w:pgNumType w:start="1"/>
          <w:cols w:space="720"/>
        </w:sectPr>
      </w:pPr>
    </w:p>
    <w:p w14:paraId="256A70E3" w14:textId="77777777" w:rsidR="002F6016" w:rsidRPr="00253E57" w:rsidRDefault="00E020F6" w:rsidP="008E12FA">
      <w:pPr>
        <w:pStyle w:val="Heading1"/>
        <w:ind w:left="0"/>
      </w:pPr>
      <w:bookmarkStart w:id="9" w:name="_Toc267466216"/>
      <w:r w:rsidRPr="00253E57">
        <w:lastRenderedPageBreak/>
        <w:t>New Features</w:t>
      </w:r>
      <w:bookmarkEnd w:id="9"/>
    </w:p>
    <w:p w14:paraId="7F798229" w14:textId="77777777" w:rsidR="002F6016" w:rsidRPr="00253E57" w:rsidRDefault="002F6016" w:rsidP="002F6016"/>
    <w:p w14:paraId="73836CF5" w14:textId="77777777" w:rsidR="002F6016" w:rsidRPr="00253E57" w:rsidRDefault="002F6016" w:rsidP="002F6016">
      <w:pPr>
        <w:pStyle w:val="Heading2"/>
      </w:pPr>
      <w:bookmarkStart w:id="10" w:name="_Toc267466217"/>
      <w:r w:rsidRPr="00253E57">
        <w:t>Indian Health Service</w:t>
      </w:r>
      <w:bookmarkEnd w:id="10"/>
    </w:p>
    <w:p w14:paraId="13F7DBD5" w14:textId="77777777" w:rsidR="002F6016" w:rsidRPr="00253E57" w:rsidRDefault="002F6016" w:rsidP="002F6016"/>
    <w:p w14:paraId="26B9325A" w14:textId="77777777" w:rsidR="00EA5FC1" w:rsidRPr="00253E57" w:rsidRDefault="00454C0F" w:rsidP="00C238C7">
      <w:pPr>
        <w:pStyle w:val="BodyTextIndent2"/>
        <w:spacing w:after="120"/>
      </w:pPr>
      <w:bookmarkStart w:id="11" w:name="_Toc262467458"/>
      <w:r w:rsidRPr="00253E57">
        <w:rPr>
          <w:b/>
          <w:bCs/>
          <w:szCs w:val="24"/>
        </w:rPr>
        <w:t>Identifi</w:t>
      </w:r>
      <w:r w:rsidR="00F0106B" w:rsidRPr="00253E57">
        <w:rPr>
          <w:b/>
          <w:bCs/>
          <w:szCs w:val="24"/>
        </w:rPr>
        <w:t>es</w:t>
      </w:r>
      <w:r w:rsidRPr="00253E57">
        <w:rPr>
          <w:b/>
          <w:bCs/>
          <w:szCs w:val="24"/>
        </w:rPr>
        <w:t xml:space="preserve"> Operational Environment</w:t>
      </w:r>
      <w:bookmarkEnd w:id="11"/>
    </w:p>
    <w:p w14:paraId="29CD7479" w14:textId="77777777" w:rsidR="00454C0F" w:rsidRPr="00253E57" w:rsidRDefault="00EA5FC1" w:rsidP="00F405A3">
      <w:pPr>
        <w:pStyle w:val="BodyTextIndent2"/>
      </w:pPr>
      <w:r w:rsidRPr="00253E57">
        <w:t xml:space="preserve">BCMA </w:t>
      </w:r>
      <w:r w:rsidR="00454C0F" w:rsidRPr="00253E57">
        <w:t>recognize</w:t>
      </w:r>
      <w:r w:rsidR="00DC4BC5" w:rsidRPr="00253E57">
        <w:t>s</w:t>
      </w:r>
      <w:r w:rsidR="00454C0F" w:rsidRPr="00253E57">
        <w:t xml:space="preserve"> the operational environment (VistA or RPMS) by referencing the agency variable DUZ (“AG”).</w:t>
      </w:r>
    </w:p>
    <w:p w14:paraId="49FA0E43" w14:textId="77777777" w:rsidR="00454C0F" w:rsidRPr="00253E57" w:rsidRDefault="00454C0F" w:rsidP="00454C0F">
      <w:pPr>
        <w:ind w:left="720"/>
      </w:pPr>
    </w:p>
    <w:p w14:paraId="1902050C" w14:textId="77777777" w:rsidR="00EA5FC1" w:rsidRPr="00253E57" w:rsidRDefault="00F0106B" w:rsidP="00C238C7">
      <w:pPr>
        <w:pStyle w:val="BodyTextIndent2"/>
        <w:spacing w:after="120"/>
        <w:rPr>
          <w:b/>
          <w:bCs/>
          <w:szCs w:val="24"/>
        </w:rPr>
      </w:pPr>
      <w:bookmarkStart w:id="12" w:name="_Toc262467459"/>
      <w:r w:rsidRPr="00253E57">
        <w:rPr>
          <w:b/>
          <w:bCs/>
          <w:szCs w:val="24"/>
        </w:rPr>
        <w:t xml:space="preserve">Recognizes </w:t>
      </w:r>
      <w:r w:rsidR="00D23F7A" w:rsidRPr="00253E57">
        <w:rPr>
          <w:b/>
          <w:bCs/>
          <w:szCs w:val="24"/>
        </w:rPr>
        <w:t xml:space="preserve">IHS </w:t>
      </w:r>
      <w:r w:rsidR="00AD1BBF" w:rsidRPr="00253E57">
        <w:rPr>
          <w:b/>
          <w:bCs/>
          <w:szCs w:val="24"/>
        </w:rPr>
        <w:t>Patient Identifier</w:t>
      </w:r>
      <w:bookmarkEnd w:id="12"/>
    </w:p>
    <w:p w14:paraId="7D8855A1" w14:textId="77777777" w:rsidR="00140063" w:rsidRPr="00253E57" w:rsidRDefault="00454C0F" w:rsidP="00F405A3">
      <w:pPr>
        <w:pStyle w:val="BodyTextIndent2"/>
      </w:pPr>
      <w:r w:rsidRPr="00253E57">
        <w:t xml:space="preserve">When operating in the RPMS environment, </w:t>
      </w:r>
      <w:r w:rsidR="00F7607B" w:rsidRPr="00253E57">
        <w:t>BCMA</w:t>
      </w:r>
      <w:r w:rsidRPr="00253E57">
        <w:t xml:space="preserve"> read</w:t>
      </w:r>
      <w:r w:rsidR="00DC4BC5" w:rsidRPr="00253E57">
        <w:t>s</w:t>
      </w:r>
      <w:r w:rsidRPr="00253E57">
        <w:t xml:space="preserve"> the 12-digit bar code IHS patient identifier</w:t>
      </w:r>
      <w:r w:rsidR="00F7607B" w:rsidRPr="00253E57">
        <w:t xml:space="preserve"> and</w:t>
      </w:r>
      <w:r w:rsidR="00EA5FC1" w:rsidRPr="00253E57">
        <w:t xml:space="preserve"> split</w:t>
      </w:r>
      <w:r w:rsidR="00DC4BC5" w:rsidRPr="00253E57">
        <w:t>s</w:t>
      </w:r>
      <w:r w:rsidR="00EA5FC1" w:rsidRPr="00253E57">
        <w:t xml:space="preserve"> the 12-digit identifier into its component parts</w:t>
      </w:r>
      <w:r w:rsidR="00F7607B" w:rsidRPr="00253E57">
        <w:t>,</w:t>
      </w:r>
      <w:r w:rsidR="00EA5FC1" w:rsidRPr="00253E57">
        <w:t xml:space="preserve"> </w:t>
      </w:r>
      <w:r w:rsidR="000318C4" w:rsidRPr="00253E57">
        <w:t xml:space="preserve">Area, Service Unit Facility </w:t>
      </w:r>
      <w:r w:rsidR="00EA5FC1" w:rsidRPr="00253E57">
        <w:t xml:space="preserve">ASUFAC (characters 1-6) and </w:t>
      </w:r>
      <w:r w:rsidR="00DF3418" w:rsidRPr="00253E57">
        <w:t>Health Record Number (</w:t>
      </w:r>
      <w:r w:rsidR="00EA5FC1" w:rsidRPr="00253E57">
        <w:t>HRN</w:t>
      </w:r>
      <w:r w:rsidR="00DF3418" w:rsidRPr="00253E57">
        <w:t>)</w:t>
      </w:r>
      <w:r w:rsidR="00EA5FC1" w:rsidRPr="00253E57">
        <w:t xml:space="preserve"> (characters 7-12)</w:t>
      </w:r>
      <w:r w:rsidR="00F7607B" w:rsidRPr="00253E57">
        <w:t>, to</w:t>
      </w:r>
      <w:r w:rsidR="00EA5FC1" w:rsidRPr="00253E57">
        <w:t xml:space="preserve"> correctly identify and match patient identifiers associated with drug orders. </w:t>
      </w:r>
    </w:p>
    <w:p w14:paraId="7249EB22" w14:textId="77777777" w:rsidR="00DF3418" w:rsidRPr="00253E57" w:rsidRDefault="00DF3418" w:rsidP="00F405A3">
      <w:pPr>
        <w:pStyle w:val="BodyTextIndent2"/>
      </w:pPr>
    </w:p>
    <w:p w14:paraId="18CE7C0D" w14:textId="77777777" w:rsidR="00DF3418" w:rsidRPr="00253E57" w:rsidRDefault="00DF3418" w:rsidP="00DF3418">
      <w:pPr>
        <w:pStyle w:val="BodyTextIndent2"/>
        <w:spacing w:after="120"/>
        <w:rPr>
          <w:b/>
          <w:bCs/>
          <w:szCs w:val="24"/>
        </w:rPr>
      </w:pPr>
      <w:r w:rsidRPr="00253E57">
        <w:rPr>
          <w:b/>
          <w:bCs/>
          <w:szCs w:val="24"/>
        </w:rPr>
        <w:t>Provide</w:t>
      </w:r>
      <w:r w:rsidR="00791405" w:rsidRPr="00253E57">
        <w:rPr>
          <w:b/>
          <w:bCs/>
          <w:szCs w:val="24"/>
        </w:rPr>
        <w:t>s</w:t>
      </w:r>
      <w:r w:rsidRPr="00253E57">
        <w:rPr>
          <w:b/>
          <w:bCs/>
          <w:szCs w:val="24"/>
        </w:rPr>
        <w:t xml:space="preserve"> IHS Site Parameter</w:t>
      </w:r>
      <w:r w:rsidR="00990A20" w:rsidRPr="00253E57">
        <w:rPr>
          <w:b/>
          <w:bCs/>
          <w:szCs w:val="24"/>
        </w:rPr>
        <w:t xml:space="preserve"> for Customizing </w:t>
      </w:r>
      <w:r w:rsidR="002E4441" w:rsidRPr="00253E57">
        <w:rPr>
          <w:b/>
          <w:bCs/>
          <w:szCs w:val="24"/>
        </w:rPr>
        <w:t xml:space="preserve">IHS </w:t>
      </w:r>
      <w:r w:rsidR="00990A20" w:rsidRPr="00253E57">
        <w:rPr>
          <w:b/>
          <w:bCs/>
          <w:szCs w:val="24"/>
        </w:rPr>
        <w:t>Patient ID Label</w:t>
      </w:r>
    </w:p>
    <w:p w14:paraId="4479CC93" w14:textId="77777777" w:rsidR="00DF3418" w:rsidRPr="00253E57" w:rsidRDefault="00D23F7A" w:rsidP="00F405A3">
      <w:pPr>
        <w:pStyle w:val="BodyTextIndent2"/>
      </w:pPr>
      <w:r w:rsidRPr="00253E57">
        <w:t xml:space="preserve">When operating in the RPMS environment, </w:t>
      </w:r>
      <w:r w:rsidR="00990A20" w:rsidRPr="00253E57">
        <w:t xml:space="preserve">the application </w:t>
      </w:r>
      <w:r w:rsidRPr="00253E57">
        <w:t>p</w:t>
      </w:r>
      <w:r w:rsidR="00DF3418" w:rsidRPr="00253E57">
        <w:rPr>
          <w:iCs/>
        </w:rPr>
        <w:t>rovides a Site Parameter to customize the IHS Patient ID label</w:t>
      </w:r>
      <w:r w:rsidR="00990A20" w:rsidRPr="00253E57">
        <w:rPr>
          <w:iCs/>
        </w:rPr>
        <w:t xml:space="preserve"> in BCMA</w:t>
      </w:r>
      <w:r w:rsidRPr="00253E57">
        <w:rPr>
          <w:iCs/>
        </w:rPr>
        <w:t xml:space="preserve">. By default, the IHS Patient ID </w:t>
      </w:r>
      <w:r w:rsidR="00990A20" w:rsidRPr="00253E57">
        <w:rPr>
          <w:iCs/>
        </w:rPr>
        <w:t>L</w:t>
      </w:r>
      <w:r w:rsidRPr="00253E57">
        <w:rPr>
          <w:iCs/>
        </w:rPr>
        <w:t xml:space="preserve">abel defaults to </w:t>
      </w:r>
      <w:r w:rsidR="00DF3418" w:rsidRPr="00253E57">
        <w:rPr>
          <w:iCs/>
        </w:rPr>
        <w:t>“HRN.”</w:t>
      </w:r>
      <w:r w:rsidR="00990A20" w:rsidRPr="00253E57">
        <w:t xml:space="preserve"> The features below are described using the default IHS Patient ID Label. Please note that the application will display the customized label, if applicable. See Section 3.3 below for details.</w:t>
      </w:r>
    </w:p>
    <w:p w14:paraId="0FA9F2AE" w14:textId="77777777" w:rsidR="00140063" w:rsidRPr="00253E57" w:rsidRDefault="00140063" w:rsidP="00F405A3">
      <w:pPr>
        <w:pStyle w:val="BodyTextIndent2"/>
      </w:pPr>
    </w:p>
    <w:p w14:paraId="05CFB76F" w14:textId="77777777" w:rsidR="00140063" w:rsidRPr="00253E57" w:rsidRDefault="00140063" w:rsidP="00C238C7">
      <w:pPr>
        <w:pStyle w:val="BodyTextIndent2"/>
        <w:spacing w:after="120"/>
        <w:rPr>
          <w:b/>
          <w:bCs/>
          <w:szCs w:val="24"/>
        </w:rPr>
      </w:pPr>
      <w:r w:rsidRPr="00253E57">
        <w:rPr>
          <w:b/>
          <w:bCs/>
          <w:szCs w:val="24"/>
        </w:rPr>
        <w:t xml:space="preserve">Displays </w:t>
      </w:r>
      <w:r w:rsidR="00D23F7A" w:rsidRPr="00253E57">
        <w:rPr>
          <w:b/>
          <w:bCs/>
          <w:szCs w:val="24"/>
        </w:rPr>
        <w:t xml:space="preserve">IHS </w:t>
      </w:r>
      <w:r w:rsidRPr="00253E57">
        <w:rPr>
          <w:b/>
          <w:bCs/>
          <w:szCs w:val="24"/>
        </w:rPr>
        <w:t>Patient Identifier on BCMA GUI Screens</w:t>
      </w:r>
    </w:p>
    <w:p w14:paraId="0CBCD5F9" w14:textId="77777777" w:rsidR="00140063" w:rsidRPr="00253E57" w:rsidRDefault="00DF3418" w:rsidP="00140063">
      <w:pPr>
        <w:pStyle w:val="BodyTextIndent2"/>
      </w:pPr>
      <w:r w:rsidRPr="00253E57">
        <w:t>When operating in the RPMS environment, t</w:t>
      </w:r>
      <w:r w:rsidR="00140063" w:rsidRPr="00253E57">
        <w:t xml:space="preserve">he application displays the </w:t>
      </w:r>
      <w:r w:rsidRPr="00253E57">
        <w:t xml:space="preserve">default </w:t>
      </w:r>
      <w:r w:rsidR="002E4441" w:rsidRPr="00253E57">
        <w:t xml:space="preserve">IHS </w:t>
      </w:r>
      <w:r w:rsidR="00990A20" w:rsidRPr="00253E57">
        <w:t>P</w:t>
      </w:r>
      <w:r w:rsidRPr="00253E57">
        <w:t xml:space="preserve">atient ID </w:t>
      </w:r>
      <w:r w:rsidR="00990A20" w:rsidRPr="00253E57">
        <w:t>L</w:t>
      </w:r>
      <w:r w:rsidRPr="00253E57">
        <w:t xml:space="preserve">abel of </w:t>
      </w:r>
      <w:r w:rsidR="00140063" w:rsidRPr="00253E57">
        <w:t xml:space="preserve">“HRN” instead of “SSN” on the following BCMA GUI screens that display a label for the patient identifier, as well as the patient’s 6-digit </w:t>
      </w:r>
      <w:r w:rsidR="00990A20" w:rsidRPr="00253E57">
        <w:t>IHS HRN</w:t>
      </w:r>
      <w:r w:rsidR="00140063" w:rsidRPr="00253E57">
        <w:t>:</w:t>
      </w:r>
    </w:p>
    <w:p w14:paraId="43697139" w14:textId="77777777" w:rsidR="00495840" w:rsidRPr="00253E57" w:rsidRDefault="00495840" w:rsidP="00F405A3">
      <w:pPr>
        <w:pStyle w:val="BodyTextIndent2"/>
      </w:pPr>
    </w:p>
    <w:p w14:paraId="3F296149" w14:textId="77777777" w:rsidR="00EA5FC1" w:rsidRPr="00253E57" w:rsidRDefault="00EA5FC1" w:rsidP="001857B3">
      <w:pPr>
        <w:pStyle w:val="ListBullet20"/>
        <w:numPr>
          <w:ilvl w:val="0"/>
          <w:numId w:val="2"/>
        </w:numPr>
        <w:tabs>
          <w:tab w:val="left" w:pos="1440"/>
        </w:tabs>
        <w:spacing w:after="0"/>
      </w:pPr>
      <w:r w:rsidRPr="00253E57">
        <w:t>BCMA Virtual Due List (VDL)</w:t>
      </w:r>
      <w:r w:rsidR="005A6278" w:rsidRPr="00253E57">
        <w:tab/>
      </w:r>
    </w:p>
    <w:p w14:paraId="31861599" w14:textId="77777777" w:rsidR="00EA5FC1" w:rsidRPr="00253E57" w:rsidRDefault="00EA5FC1" w:rsidP="001857B3">
      <w:pPr>
        <w:pStyle w:val="ListBullet20"/>
        <w:numPr>
          <w:ilvl w:val="0"/>
          <w:numId w:val="2"/>
        </w:numPr>
        <w:tabs>
          <w:tab w:val="left" w:pos="1440"/>
        </w:tabs>
        <w:spacing w:after="0"/>
      </w:pPr>
      <w:r w:rsidRPr="00253E57">
        <w:t xml:space="preserve">Patient Confirmation form </w:t>
      </w:r>
    </w:p>
    <w:p w14:paraId="7FF74D85" w14:textId="77777777" w:rsidR="00EA5FC1" w:rsidRPr="00253E57" w:rsidRDefault="00EA5FC1" w:rsidP="001857B3">
      <w:pPr>
        <w:pStyle w:val="ListBullet20"/>
        <w:numPr>
          <w:ilvl w:val="0"/>
          <w:numId w:val="2"/>
        </w:numPr>
        <w:tabs>
          <w:tab w:val="left" w:pos="1440"/>
        </w:tabs>
        <w:spacing w:after="0"/>
      </w:pPr>
      <w:r w:rsidRPr="00253E57">
        <w:t>Edit Med Log Administration Select form</w:t>
      </w:r>
    </w:p>
    <w:p w14:paraId="4D65D755" w14:textId="77777777" w:rsidR="00EA5FC1" w:rsidRPr="00253E57" w:rsidRDefault="00EA5FC1" w:rsidP="001857B3">
      <w:pPr>
        <w:pStyle w:val="ListBullet20"/>
        <w:numPr>
          <w:ilvl w:val="0"/>
          <w:numId w:val="2"/>
        </w:numPr>
        <w:tabs>
          <w:tab w:val="left" w:pos="1440"/>
        </w:tabs>
        <w:spacing w:after="0"/>
      </w:pPr>
      <w:r w:rsidRPr="00253E57">
        <w:t xml:space="preserve">Edit Med Log form </w:t>
      </w:r>
    </w:p>
    <w:p w14:paraId="5702C6FF" w14:textId="77777777" w:rsidR="00EA5FC1" w:rsidRPr="00253E57" w:rsidRDefault="00EA5FC1" w:rsidP="001857B3">
      <w:pPr>
        <w:pStyle w:val="ListBullet20"/>
        <w:numPr>
          <w:ilvl w:val="0"/>
          <w:numId w:val="2"/>
        </w:numPr>
        <w:tabs>
          <w:tab w:val="left" w:pos="1440"/>
        </w:tabs>
      </w:pPr>
      <w:r w:rsidRPr="00253E57">
        <w:t xml:space="preserve">Patient Select form </w:t>
      </w:r>
    </w:p>
    <w:p w14:paraId="20990CCA" w14:textId="77777777" w:rsidR="00F405A3" w:rsidRPr="00253E57" w:rsidRDefault="00F405A3" w:rsidP="00F7607B">
      <w:pPr>
        <w:ind w:left="720"/>
      </w:pPr>
    </w:p>
    <w:p w14:paraId="2A8C674B" w14:textId="77777777" w:rsidR="00140063" w:rsidRPr="00253E57" w:rsidRDefault="00140063" w:rsidP="00C238C7">
      <w:pPr>
        <w:pStyle w:val="BodyTextIndent2"/>
        <w:spacing w:after="120"/>
        <w:rPr>
          <w:b/>
          <w:bCs/>
          <w:szCs w:val="24"/>
        </w:rPr>
      </w:pPr>
      <w:r w:rsidRPr="00253E57">
        <w:rPr>
          <w:b/>
          <w:bCs/>
          <w:szCs w:val="24"/>
        </w:rPr>
        <w:t xml:space="preserve">Displays </w:t>
      </w:r>
      <w:r w:rsidR="00D23F7A" w:rsidRPr="00253E57">
        <w:rPr>
          <w:b/>
          <w:bCs/>
          <w:szCs w:val="24"/>
        </w:rPr>
        <w:t xml:space="preserve">IHS </w:t>
      </w:r>
      <w:r w:rsidRPr="00253E57">
        <w:rPr>
          <w:b/>
          <w:bCs/>
          <w:szCs w:val="24"/>
        </w:rPr>
        <w:t>Patient Identifier on BCMA GUI Reports</w:t>
      </w:r>
    </w:p>
    <w:p w14:paraId="67636DC7" w14:textId="77777777" w:rsidR="00EA5FC1" w:rsidRPr="00253E57" w:rsidRDefault="00DF3418" w:rsidP="00F405A3">
      <w:pPr>
        <w:pStyle w:val="BodyTextIndent2"/>
      </w:pPr>
      <w:r w:rsidRPr="00253E57">
        <w:t>When operating in the RPMS environment, t</w:t>
      </w:r>
      <w:bookmarkStart w:id="13" w:name="OLE_LINK1"/>
      <w:r w:rsidR="00EA5FC1" w:rsidRPr="00253E57">
        <w:t>he patient’s</w:t>
      </w:r>
      <w:r w:rsidR="00EB558E" w:rsidRPr="00253E57">
        <w:t xml:space="preserve"> </w:t>
      </w:r>
      <w:r w:rsidR="00990A20" w:rsidRPr="00253E57">
        <w:t>en</w:t>
      </w:r>
      <w:r w:rsidR="00D603DF" w:rsidRPr="00253E57">
        <w:t>t</w:t>
      </w:r>
      <w:r w:rsidR="00990A20" w:rsidRPr="00253E57">
        <w:t>i</w:t>
      </w:r>
      <w:r w:rsidR="00D603DF" w:rsidRPr="00253E57">
        <w:t>r</w:t>
      </w:r>
      <w:r w:rsidR="00990A20" w:rsidRPr="00253E57">
        <w:t xml:space="preserve">e </w:t>
      </w:r>
      <w:r w:rsidR="00EB558E" w:rsidRPr="00253E57">
        <w:t xml:space="preserve">6-digit </w:t>
      </w:r>
      <w:r w:rsidR="00EA5FC1" w:rsidRPr="00253E57">
        <w:t xml:space="preserve">HRN </w:t>
      </w:r>
      <w:r w:rsidR="00990A20" w:rsidRPr="00253E57">
        <w:t xml:space="preserve">and corresponding </w:t>
      </w:r>
      <w:r w:rsidR="002E4441" w:rsidRPr="00253E57">
        <w:t xml:space="preserve">IHS </w:t>
      </w:r>
      <w:r w:rsidR="00990A20" w:rsidRPr="00253E57">
        <w:t>Patient ID Label, instead of the SSN, are</w:t>
      </w:r>
      <w:r w:rsidR="00F7607B" w:rsidRPr="00253E57">
        <w:t xml:space="preserve"> displayed </w:t>
      </w:r>
      <w:r w:rsidR="00990A20" w:rsidRPr="00253E57">
        <w:t>and printed o</w:t>
      </w:r>
      <w:r w:rsidR="00EA5FC1" w:rsidRPr="00253E57">
        <w:t xml:space="preserve">n </w:t>
      </w:r>
      <w:r w:rsidR="00885858" w:rsidRPr="00253E57">
        <w:t>the</w:t>
      </w:r>
      <w:r w:rsidR="00EA5FC1" w:rsidRPr="00253E57">
        <w:t xml:space="preserve"> following reports:</w:t>
      </w:r>
    </w:p>
    <w:bookmarkEnd w:id="13"/>
    <w:p w14:paraId="6C775AB5" w14:textId="77777777" w:rsidR="00495840" w:rsidRPr="00253E57" w:rsidRDefault="00495840" w:rsidP="00F405A3">
      <w:pPr>
        <w:pStyle w:val="BodyTextIndent2"/>
      </w:pPr>
    </w:p>
    <w:p w14:paraId="39DFD5C7" w14:textId="77777777" w:rsidR="009C459E" w:rsidRPr="00253E57" w:rsidRDefault="009C459E" w:rsidP="001857B3">
      <w:pPr>
        <w:pStyle w:val="ListBullet20"/>
        <w:numPr>
          <w:ilvl w:val="0"/>
          <w:numId w:val="2"/>
        </w:numPr>
        <w:tabs>
          <w:tab w:val="left" w:pos="1440"/>
        </w:tabs>
        <w:spacing w:after="0"/>
      </w:pPr>
      <w:r w:rsidRPr="00253E57">
        <w:t>Administration Times</w:t>
      </w:r>
    </w:p>
    <w:p w14:paraId="5B190F3B" w14:textId="77777777" w:rsidR="009C459E" w:rsidRPr="00253E57" w:rsidRDefault="009C459E" w:rsidP="001857B3">
      <w:pPr>
        <w:pStyle w:val="ListBullet20"/>
        <w:numPr>
          <w:ilvl w:val="0"/>
          <w:numId w:val="2"/>
        </w:numPr>
        <w:tabs>
          <w:tab w:val="left" w:pos="1440"/>
        </w:tabs>
        <w:spacing w:after="0"/>
      </w:pPr>
      <w:r w:rsidRPr="00253E57">
        <w:t>Cover Sheet Medication Overview</w:t>
      </w:r>
    </w:p>
    <w:p w14:paraId="6B6A1F66" w14:textId="77777777" w:rsidR="009C459E" w:rsidRPr="00253E57" w:rsidRDefault="009C459E" w:rsidP="001857B3">
      <w:pPr>
        <w:pStyle w:val="ListBullet20"/>
        <w:numPr>
          <w:ilvl w:val="0"/>
          <w:numId w:val="2"/>
        </w:numPr>
        <w:tabs>
          <w:tab w:val="left" w:pos="1440"/>
        </w:tabs>
        <w:spacing w:after="0"/>
      </w:pPr>
      <w:r w:rsidRPr="00253E57">
        <w:t>Cover Sheet PRN Overview</w:t>
      </w:r>
    </w:p>
    <w:p w14:paraId="61438B82" w14:textId="77777777" w:rsidR="005A6278" w:rsidRPr="00253E57" w:rsidRDefault="005A6278" w:rsidP="001857B3">
      <w:pPr>
        <w:pStyle w:val="ListBullet20"/>
        <w:numPr>
          <w:ilvl w:val="0"/>
          <w:numId w:val="2"/>
        </w:numPr>
        <w:tabs>
          <w:tab w:val="left" w:pos="1440"/>
        </w:tabs>
        <w:spacing w:after="0"/>
      </w:pPr>
      <w:r w:rsidRPr="00253E57">
        <w:t>Cover Sheet IV Overview</w:t>
      </w:r>
    </w:p>
    <w:p w14:paraId="774BD303" w14:textId="77777777" w:rsidR="005A6278" w:rsidRPr="00253E57" w:rsidRDefault="005A6278" w:rsidP="001857B3">
      <w:pPr>
        <w:pStyle w:val="ListBullet20"/>
        <w:numPr>
          <w:ilvl w:val="0"/>
          <w:numId w:val="2"/>
        </w:numPr>
        <w:tabs>
          <w:tab w:val="left" w:pos="1440"/>
        </w:tabs>
        <w:spacing w:after="0"/>
      </w:pPr>
      <w:r w:rsidRPr="00253E57">
        <w:lastRenderedPageBreak/>
        <w:t>Cover Sheet Expired/DC’d/Expiring Orders</w:t>
      </w:r>
    </w:p>
    <w:p w14:paraId="32EB23A9" w14:textId="77777777" w:rsidR="00AA0592" w:rsidRPr="00253E57" w:rsidRDefault="00AA0592" w:rsidP="001857B3">
      <w:pPr>
        <w:pStyle w:val="ListBullet20"/>
        <w:numPr>
          <w:ilvl w:val="0"/>
          <w:numId w:val="2"/>
        </w:numPr>
        <w:tabs>
          <w:tab w:val="left" w:pos="1440"/>
        </w:tabs>
        <w:spacing w:after="0"/>
      </w:pPr>
      <w:r w:rsidRPr="00253E57">
        <w:t>Display Order</w:t>
      </w:r>
    </w:p>
    <w:p w14:paraId="01C3D0C2" w14:textId="77777777" w:rsidR="005A6278" w:rsidRPr="00253E57" w:rsidRDefault="005A6278" w:rsidP="001857B3">
      <w:pPr>
        <w:pStyle w:val="ListBullet20"/>
        <w:numPr>
          <w:ilvl w:val="0"/>
          <w:numId w:val="2"/>
        </w:numPr>
        <w:tabs>
          <w:tab w:val="left" w:pos="1440"/>
        </w:tabs>
        <w:spacing w:after="0"/>
      </w:pPr>
      <w:r w:rsidRPr="00253E57">
        <w:t>Due List</w:t>
      </w:r>
    </w:p>
    <w:p w14:paraId="502C4518" w14:textId="77777777" w:rsidR="00EA5FC1" w:rsidRPr="00253E57" w:rsidRDefault="00EA5FC1" w:rsidP="001857B3">
      <w:pPr>
        <w:pStyle w:val="ListBullet20"/>
        <w:numPr>
          <w:ilvl w:val="0"/>
          <w:numId w:val="2"/>
        </w:numPr>
        <w:tabs>
          <w:tab w:val="left" w:pos="1440"/>
        </w:tabs>
        <w:spacing w:after="0"/>
      </w:pPr>
      <w:r w:rsidRPr="00253E57">
        <w:t>IV Bag Status</w:t>
      </w:r>
    </w:p>
    <w:p w14:paraId="4D63806A" w14:textId="77777777" w:rsidR="00EA5FC1" w:rsidRPr="00253E57" w:rsidRDefault="00EA5FC1" w:rsidP="001857B3">
      <w:pPr>
        <w:pStyle w:val="ListBullet20"/>
        <w:numPr>
          <w:ilvl w:val="0"/>
          <w:numId w:val="2"/>
        </w:numPr>
        <w:tabs>
          <w:tab w:val="left" w:pos="1440"/>
        </w:tabs>
        <w:spacing w:after="0"/>
      </w:pPr>
      <w:r w:rsidRPr="00253E57">
        <w:t>Medication Admin History</w:t>
      </w:r>
    </w:p>
    <w:p w14:paraId="7D42330D" w14:textId="77777777" w:rsidR="00AA0592" w:rsidRPr="00253E57" w:rsidRDefault="00AA0592" w:rsidP="001857B3">
      <w:pPr>
        <w:pStyle w:val="ListBullet20"/>
        <w:numPr>
          <w:ilvl w:val="0"/>
          <w:numId w:val="2"/>
        </w:numPr>
        <w:tabs>
          <w:tab w:val="left" w:pos="1440"/>
        </w:tabs>
        <w:spacing w:after="0"/>
      </w:pPr>
      <w:r w:rsidRPr="00253E57">
        <w:t>Medication History</w:t>
      </w:r>
    </w:p>
    <w:p w14:paraId="6FAD840A" w14:textId="77777777" w:rsidR="00EA5FC1" w:rsidRPr="00253E57" w:rsidRDefault="00EA5FC1" w:rsidP="001857B3">
      <w:pPr>
        <w:pStyle w:val="ListBullet20"/>
        <w:numPr>
          <w:ilvl w:val="0"/>
          <w:numId w:val="2"/>
        </w:numPr>
        <w:tabs>
          <w:tab w:val="left" w:pos="1440"/>
        </w:tabs>
        <w:spacing w:after="0"/>
      </w:pPr>
      <w:r w:rsidRPr="00253E57">
        <w:t>Medication Log</w:t>
      </w:r>
    </w:p>
    <w:p w14:paraId="6EAF5975" w14:textId="77777777" w:rsidR="00EA5FC1" w:rsidRPr="00253E57" w:rsidRDefault="00EA5FC1" w:rsidP="001857B3">
      <w:pPr>
        <w:pStyle w:val="ListBullet20"/>
        <w:numPr>
          <w:ilvl w:val="0"/>
          <w:numId w:val="2"/>
        </w:numPr>
        <w:tabs>
          <w:tab w:val="left" w:pos="1440"/>
        </w:tabs>
        <w:spacing w:after="0"/>
      </w:pPr>
      <w:r w:rsidRPr="00253E57">
        <w:t>Medication Therapy</w:t>
      </w:r>
    </w:p>
    <w:p w14:paraId="5807D803" w14:textId="77777777" w:rsidR="00EA5FC1" w:rsidRPr="00253E57" w:rsidRDefault="00EA5FC1" w:rsidP="001857B3">
      <w:pPr>
        <w:pStyle w:val="ListBullet20"/>
        <w:numPr>
          <w:ilvl w:val="0"/>
          <w:numId w:val="2"/>
        </w:numPr>
        <w:tabs>
          <w:tab w:val="left" w:pos="1440"/>
        </w:tabs>
        <w:spacing w:after="0"/>
      </w:pPr>
      <w:r w:rsidRPr="00253E57">
        <w:t>Medication Variance Log</w:t>
      </w:r>
    </w:p>
    <w:p w14:paraId="3FF6C454" w14:textId="77777777" w:rsidR="00EA5FC1" w:rsidRPr="00253E57" w:rsidRDefault="00EA5FC1" w:rsidP="001857B3">
      <w:pPr>
        <w:pStyle w:val="ListBullet20"/>
        <w:numPr>
          <w:ilvl w:val="0"/>
          <w:numId w:val="2"/>
        </w:numPr>
        <w:tabs>
          <w:tab w:val="left" w:pos="1440"/>
        </w:tabs>
        <w:spacing w:after="0"/>
      </w:pPr>
      <w:r w:rsidRPr="00253E57">
        <w:t>Missed Medications</w:t>
      </w:r>
    </w:p>
    <w:p w14:paraId="78D6B12A" w14:textId="77777777" w:rsidR="00EA5FC1" w:rsidRPr="00253E57" w:rsidRDefault="00EA5FC1" w:rsidP="001857B3">
      <w:pPr>
        <w:pStyle w:val="ListBullet20"/>
        <w:numPr>
          <w:ilvl w:val="0"/>
          <w:numId w:val="2"/>
        </w:numPr>
        <w:tabs>
          <w:tab w:val="left" w:pos="1440"/>
        </w:tabs>
        <w:spacing w:after="0"/>
      </w:pPr>
      <w:r w:rsidRPr="00253E57">
        <w:t>Patient Demographics/Inquiry</w:t>
      </w:r>
    </w:p>
    <w:p w14:paraId="5F57929D" w14:textId="77777777" w:rsidR="00EA5FC1" w:rsidRPr="00253E57" w:rsidRDefault="00EA5FC1" w:rsidP="001857B3">
      <w:pPr>
        <w:pStyle w:val="ListBullet20"/>
        <w:numPr>
          <w:ilvl w:val="0"/>
          <w:numId w:val="2"/>
        </w:numPr>
        <w:tabs>
          <w:tab w:val="left" w:pos="1440"/>
        </w:tabs>
        <w:spacing w:after="0"/>
      </w:pPr>
      <w:r w:rsidRPr="00253E57">
        <w:t>PRN Effectiveness</w:t>
      </w:r>
    </w:p>
    <w:p w14:paraId="3DA082B4" w14:textId="77777777" w:rsidR="00EA5FC1" w:rsidRPr="00253E57" w:rsidRDefault="00EA5FC1" w:rsidP="001857B3">
      <w:pPr>
        <w:pStyle w:val="ListBullet20"/>
        <w:numPr>
          <w:ilvl w:val="0"/>
          <w:numId w:val="2"/>
        </w:numPr>
        <w:tabs>
          <w:tab w:val="left" w:pos="1440"/>
        </w:tabs>
        <w:spacing w:after="0"/>
      </w:pPr>
      <w:r w:rsidRPr="00253E57">
        <w:t xml:space="preserve">Unable to Scan Detailed Report </w:t>
      </w:r>
    </w:p>
    <w:p w14:paraId="51C2FBEC" w14:textId="77777777" w:rsidR="00EA5FC1" w:rsidRPr="00253E57" w:rsidRDefault="00EA5FC1" w:rsidP="001857B3">
      <w:pPr>
        <w:pStyle w:val="ListBullet20"/>
        <w:numPr>
          <w:ilvl w:val="0"/>
          <w:numId w:val="2"/>
        </w:numPr>
        <w:tabs>
          <w:tab w:val="left" w:pos="1440"/>
        </w:tabs>
        <w:spacing w:after="0"/>
      </w:pPr>
      <w:r w:rsidRPr="00253E57">
        <w:t>Cumulative Vitals Report</w:t>
      </w:r>
    </w:p>
    <w:p w14:paraId="40475FFB" w14:textId="77777777" w:rsidR="00EA5FC1" w:rsidRPr="00253E57" w:rsidRDefault="00EA5FC1" w:rsidP="001857B3">
      <w:pPr>
        <w:pStyle w:val="ListBullet20"/>
        <w:numPr>
          <w:ilvl w:val="0"/>
          <w:numId w:val="2"/>
        </w:numPr>
        <w:tabs>
          <w:tab w:val="left" w:pos="1440"/>
        </w:tabs>
        <w:spacing w:after="0"/>
      </w:pPr>
      <w:r w:rsidRPr="00253E57">
        <w:t>Patient Record Flag Report</w:t>
      </w:r>
    </w:p>
    <w:p w14:paraId="0D39F275" w14:textId="77777777" w:rsidR="00495840" w:rsidRPr="00253E57" w:rsidRDefault="00495840" w:rsidP="00495840">
      <w:pPr>
        <w:pStyle w:val="BodyTextIndent2"/>
      </w:pPr>
    </w:p>
    <w:p w14:paraId="031736EB" w14:textId="77777777" w:rsidR="00D23F7A" w:rsidRPr="00253E57" w:rsidRDefault="00D904A2" w:rsidP="00D23F7A">
      <w:pPr>
        <w:pStyle w:val="BodyTextIndent2"/>
        <w:spacing w:after="120"/>
        <w:rPr>
          <w:b/>
          <w:bCs/>
          <w:szCs w:val="24"/>
        </w:rPr>
      </w:pPr>
      <w:r w:rsidRPr="00253E57">
        <w:rPr>
          <w:b/>
          <w:bCs/>
          <w:szCs w:val="24"/>
        </w:rPr>
        <w:t>Transmits</w:t>
      </w:r>
      <w:r w:rsidR="00D23F7A" w:rsidRPr="00253E57">
        <w:rPr>
          <w:b/>
          <w:bCs/>
          <w:szCs w:val="24"/>
        </w:rPr>
        <w:t xml:space="preserve"> HRN in HL7 Messages</w:t>
      </w:r>
    </w:p>
    <w:p w14:paraId="2CA282A1" w14:textId="77777777" w:rsidR="00EA5FC1" w:rsidRPr="00253E57" w:rsidRDefault="00EA5FC1" w:rsidP="00495840">
      <w:pPr>
        <w:pStyle w:val="BodyTextIndent2"/>
      </w:pPr>
      <w:r w:rsidRPr="00253E57">
        <w:t>The application transmit</w:t>
      </w:r>
      <w:r w:rsidR="00DC4BC5" w:rsidRPr="00253E57">
        <w:t>s</w:t>
      </w:r>
      <w:r w:rsidRPr="00253E57">
        <w:t xml:space="preserve"> the patient’s entire 6-digit HRN and </w:t>
      </w:r>
      <w:r w:rsidR="00990A20" w:rsidRPr="00253E57">
        <w:t xml:space="preserve">corresponding </w:t>
      </w:r>
      <w:r w:rsidR="002E4441" w:rsidRPr="00253E57">
        <w:t xml:space="preserve">IHS </w:t>
      </w:r>
      <w:r w:rsidR="00990A20" w:rsidRPr="00253E57">
        <w:t>Patient ID Label</w:t>
      </w:r>
      <w:r w:rsidR="006F3DB5" w:rsidRPr="00253E57">
        <w:t>,</w:t>
      </w:r>
      <w:r w:rsidRPr="00253E57">
        <w:t xml:space="preserve"> instead of the SSN</w:t>
      </w:r>
      <w:r w:rsidR="006F3DB5" w:rsidRPr="00253E57">
        <w:t>,</w:t>
      </w:r>
      <w:r w:rsidRPr="00253E57">
        <w:t xml:space="preserve"> in any Health Level </w:t>
      </w:r>
      <w:r w:rsidR="00FA758F" w:rsidRPr="00253E57">
        <w:t xml:space="preserve">Seven </w:t>
      </w:r>
      <w:r w:rsidRPr="00253E57">
        <w:t>(HL7) messages that it generates.</w:t>
      </w:r>
    </w:p>
    <w:p w14:paraId="717A293D" w14:textId="77777777" w:rsidR="00902FD6" w:rsidRPr="00253E57" w:rsidRDefault="00902FD6" w:rsidP="00495840">
      <w:pPr>
        <w:pStyle w:val="BodyTextFirstIndent2"/>
      </w:pPr>
    </w:p>
    <w:p w14:paraId="768CF654" w14:textId="77777777" w:rsidR="00140063" w:rsidRPr="00253E57" w:rsidRDefault="00140063" w:rsidP="00C238C7">
      <w:pPr>
        <w:pStyle w:val="BodyTextIndent2"/>
        <w:spacing w:after="120"/>
        <w:rPr>
          <w:b/>
          <w:bCs/>
          <w:szCs w:val="24"/>
        </w:rPr>
      </w:pPr>
      <w:bookmarkStart w:id="14" w:name="_Toc262467460"/>
      <w:r w:rsidRPr="00253E57">
        <w:rPr>
          <w:b/>
          <w:bCs/>
          <w:szCs w:val="24"/>
        </w:rPr>
        <w:t>Displays HRN in BCMA E-mail Notifications</w:t>
      </w:r>
    </w:p>
    <w:p w14:paraId="18D2E762" w14:textId="77777777" w:rsidR="00140063" w:rsidRPr="00253E57" w:rsidRDefault="00140063" w:rsidP="00140063">
      <w:pPr>
        <w:pStyle w:val="BodyTextIndent2"/>
      </w:pPr>
      <w:r w:rsidRPr="00253E57">
        <w:t xml:space="preserve">When operating in the RPMS environment, </w:t>
      </w:r>
      <w:r w:rsidR="00990A20" w:rsidRPr="00253E57">
        <w:t xml:space="preserve">the patient’s entire 6-digit </w:t>
      </w:r>
      <w:r w:rsidRPr="00253E57">
        <w:t xml:space="preserve">HRN </w:t>
      </w:r>
      <w:r w:rsidR="00990A20" w:rsidRPr="00253E57">
        <w:t xml:space="preserve">and corresponding </w:t>
      </w:r>
      <w:r w:rsidR="002E4441" w:rsidRPr="00253E57">
        <w:t xml:space="preserve">IHS </w:t>
      </w:r>
      <w:r w:rsidR="00990A20" w:rsidRPr="00253E57">
        <w:t xml:space="preserve">Patient ID Label, instead of the SSN, </w:t>
      </w:r>
      <w:r w:rsidRPr="00253E57">
        <w:t>will be displayed and formatted appropriately in the following BCMA e</w:t>
      </w:r>
      <w:r w:rsidR="00990A20" w:rsidRPr="00253E57">
        <w:noBreakHyphen/>
      </w:r>
      <w:r w:rsidRPr="00253E57">
        <w:t>mail notification messages:</w:t>
      </w:r>
    </w:p>
    <w:p w14:paraId="6E035F9C" w14:textId="77777777" w:rsidR="00140063" w:rsidRPr="00253E57" w:rsidRDefault="00140063" w:rsidP="00140063">
      <w:pPr>
        <w:pStyle w:val="BodyTextIndent2"/>
      </w:pPr>
    </w:p>
    <w:p w14:paraId="1277C8AE" w14:textId="77777777" w:rsidR="00140063" w:rsidRPr="00253E57" w:rsidRDefault="00140063" w:rsidP="00140063">
      <w:pPr>
        <w:pStyle w:val="ListBullet20"/>
        <w:numPr>
          <w:ilvl w:val="0"/>
          <w:numId w:val="2"/>
        </w:numPr>
        <w:tabs>
          <w:tab w:val="left" w:pos="1440"/>
        </w:tabs>
        <w:spacing w:after="0"/>
        <w:rPr>
          <w:szCs w:val="22"/>
        </w:rPr>
      </w:pPr>
      <w:r w:rsidRPr="00253E57">
        <w:rPr>
          <w:bCs/>
          <w:szCs w:val="22"/>
        </w:rPr>
        <w:t>Due List Error</w:t>
      </w:r>
      <w:r w:rsidRPr="00253E57">
        <w:rPr>
          <w:szCs w:val="22"/>
        </w:rPr>
        <w:t xml:space="preserve"> </w:t>
      </w:r>
    </w:p>
    <w:p w14:paraId="185A68FF" w14:textId="77777777" w:rsidR="00140063" w:rsidRPr="00253E57" w:rsidRDefault="00140063" w:rsidP="00140063">
      <w:pPr>
        <w:pStyle w:val="ListBullet20"/>
        <w:numPr>
          <w:ilvl w:val="0"/>
          <w:numId w:val="2"/>
        </w:numPr>
        <w:tabs>
          <w:tab w:val="left" w:pos="1440"/>
        </w:tabs>
        <w:spacing w:after="0"/>
        <w:rPr>
          <w:szCs w:val="22"/>
        </w:rPr>
      </w:pPr>
      <w:r w:rsidRPr="00253E57">
        <w:rPr>
          <w:bCs/>
          <w:szCs w:val="22"/>
        </w:rPr>
        <w:t>Missing Dose Notification</w:t>
      </w:r>
    </w:p>
    <w:p w14:paraId="5F7AB170" w14:textId="77777777" w:rsidR="00140063" w:rsidRPr="00253E57" w:rsidRDefault="00140063" w:rsidP="00140063">
      <w:pPr>
        <w:pStyle w:val="ListBullet20"/>
        <w:numPr>
          <w:ilvl w:val="0"/>
          <w:numId w:val="2"/>
        </w:numPr>
        <w:tabs>
          <w:tab w:val="left" w:pos="1440"/>
        </w:tabs>
        <w:spacing w:after="0"/>
        <w:rPr>
          <w:szCs w:val="22"/>
        </w:rPr>
      </w:pPr>
      <w:r w:rsidRPr="00253E57">
        <w:rPr>
          <w:bCs/>
          <w:szCs w:val="22"/>
        </w:rPr>
        <w:t>Unknown Actions</w:t>
      </w:r>
    </w:p>
    <w:p w14:paraId="00F5F560" w14:textId="77777777" w:rsidR="00140063" w:rsidRPr="00253E57" w:rsidRDefault="00140063" w:rsidP="00140063">
      <w:pPr>
        <w:pStyle w:val="ListBullet20"/>
        <w:numPr>
          <w:ilvl w:val="0"/>
          <w:numId w:val="2"/>
        </w:numPr>
        <w:tabs>
          <w:tab w:val="left" w:pos="1440"/>
        </w:tabs>
        <w:spacing w:after="0"/>
        <w:rPr>
          <w:szCs w:val="22"/>
        </w:rPr>
      </w:pPr>
      <w:r w:rsidRPr="00253E57">
        <w:rPr>
          <w:bCs/>
          <w:szCs w:val="22"/>
        </w:rPr>
        <w:t>Unable to Scan</w:t>
      </w:r>
    </w:p>
    <w:p w14:paraId="76D315A0" w14:textId="77777777" w:rsidR="00140063" w:rsidRPr="00253E57" w:rsidRDefault="00140063" w:rsidP="00495840">
      <w:pPr>
        <w:pStyle w:val="BodyTextIndent2"/>
        <w:rPr>
          <w:b/>
          <w:szCs w:val="24"/>
        </w:rPr>
      </w:pPr>
    </w:p>
    <w:p w14:paraId="1AF18C58" w14:textId="77777777" w:rsidR="00EA5FC1" w:rsidRPr="00253E57" w:rsidRDefault="00EA5FC1" w:rsidP="00C238C7">
      <w:pPr>
        <w:pStyle w:val="BodyTextIndent2"/>
        <w:spacing w:after="120"/>
        <w:rPr>
          <w:b/>
          <w:bCs/>
          <w:szCs w:val="24"/>
        </w:rPr>
      </w:pPr>
      <w:r w:rsidRPr="00253E57">
        <w:rPr>
          <w:b/>
          <w:bCs/>
          <w:szCs w:val="24"/>
        </w:rPr>
        <w:t>Detect</w:t>
      </w:r>
      <w:r w:rsidR="00F0106B" w:rsidRPr="00253E57">
        <w:rPr>
          <w:b/>
          <w:bCs/>
          <w:szCs w:val="24"/>
        </w:rPr>
        <w:t>s</w:t>
      </w:r>
      <w:r w:rsidRPr="00253E57">
        <w:rPr>
          <w:b/>
          <w:bCs/>
          <w:szCs w:val="24"/>
        </w:rPr>
        <w:t xml:space="preserve"> Vital Signs Application</w:t>
      </w:r>
      <w:bookmarkEnd w:id="14"/>
    </w:p>
    <w:p w14:paraId="3FA1DCAB" w14:textId="77777777" w:rsidR="00EA5FC1" w:rsidRPr="00253E57" w:rsidRDefault="00F7607B" w:rsidP="00495840">
      <w:pPr>
        <w:pStyle w:val="BodyTextIndent2"/>
      </w:pPr>
      <w:r w:rsidRPr="00253E57">
        <w:t xml:space="preserve">BCMA </w:t>
      </w:r>
      <w:r w:rsidR="00EA5FC1" w:rsidRPr="00253E57">
        <w:t>determine</w:t>
      </w:r>
      <w:r w:rsidR="00DC4BC5" w:rsidRPr="00253E57">
        <w:t>s</w:t>
      </w:r>
      <w:r w:rsidR="00EA5FC1" w:rsidRPr="00253E57">
        <w:t xml:space="preserve"> which vital signs application is in use at the facility (VA VITALS/MEASUREMENTS or PCC V MEASUREMENTS) and retrieve</w:t>
      </w:r>
      <w:r w:rsidR="00DC4BC5" w:rsidRPr="00253E57">
        <w:t>s</w:t>
      </w:r>
      <w:r w:rsidR="00EA5FC1" w:rsidRPr="00253E57">
        <w:t>, display</w:t>
      </w:r>
      <w:r w:rsidR="00DC4BC5" w:rsidRPr="00253E57">
        <w:t>s</w:t>
      </w:r>
      <w:r w:rsidR="00EA5FC1" w:rsidRPr="00253E57">
        <w:t>, and file</w:t>
      </w:r>
      <w:r w:rsidR="00DC4BC5" w:rsidRPr="00253E57">
        <w:t>s</w:t>
      </w:r>
      <w:r w:rsidR="00EA5FC1" w:rsidRPr="00253E57">
        <w:t xml:space="preserve"> vitals measurement data in the appropriate locations.</w:t>
      </w:r>
    </w:p>
    <w:p w14:paraId="3F9B57A6" w14:textId="77777777" w:rsidR="00EA5FC1" w:rsidRPr="00253E57" w:rsidRDefault="00EA5FC1" w:rsidP="00C238C7">
      <w:pPr>
        <w:pStyle w:val="BodyTextFirstIndent2"/>
        <w:ind w:left="0" w:firstLine="0"/>
      </w:pPr>
    </w:p>
    <w:p w14:paraId="457E58BE" w14:textId="77777777" w:rsidR="00EA5FC1" w:rsidRPr="00253E57" w:rsidRDefault="00F7607B" w:rsidP="00495840">
      <w:pPr>
        <w:pStyle w:val="BodyTextIndent2"/>
      </w:pPr>
      <w:r w:rsidRPr="00253E57">
        <w:t>W</w:t>
      </w:r>
      <w:r w:rsidR="00EA5FC1" w:rsidRPr="00253E57">
        <w:t xml:space="preserve">hether </w:t>
      </w:r>
      <w:r w:rsidR="00664BCE" w:rsidRPr="00253E57">
        <w:t>a</w:t>
      </w:r>
      <w:r w:rsidR="00EA5FC1" w:rsidRPr="00253E57">
        <w:t xml:space="preserve"> facility uses</w:t>
      </w:r>
      <w:r w:rsidR="00664BCE" w:rsidRPr="00253E57">
        <w:t xml:space="preserve"> the</w:t>
      </w:r>
      <w:r w:rsidR="00EA5FC1" w:rsidRPr="00253E57">
        <w:t xml:space="preserve"> VA VITALS/MEASUREMENTS (VHA origin) or</w:t>
      </w:r>
      <w:r w:rsidR="00664BCE" w:rsidRPr="00253E57">
        <w:t xml:space="preserve"> the</w:t>
      </w:r>
      <w:r w:rsidR="00EA5FC1" w:rsidRPr="00253E57">
        <w:t xml:space="preserve"> PCC V MEASUREMENTS (IHS origin) to record vital measurements</w:t>
      </w:r>
      <w:r w:rsidR="00664BCE" w:rsidRPr="00253E57">
        <w:t>, its use</w:t>
      </w:r>
      <w:r w:rsidRPr="00253E57">
        <w:t xml:space="preserve"> </w:t>
      </w:r>
      <w:r w:rsidR="00DC4BC5" w:rsidRPr="00253E57">
        <w:t>is</w:t>
      </w:r>
      <w:r w:rsidRPr="00253E57">
        <w:t xml:space="preserve"> </w:t>
      </w:r>
      <w:r w:rsidR="002E7D4D" w:rsidRPr="00253E57">
        <w:t>determined</w:t>
      </w:r>
      <w:r w:rsidR="00EA5FC1" w:rsidRPr="00253E57">
        <w:t xml:space="preserve"> independent of the agency variable</w:t>
      </w:r>
      <w:r w:rsidR="00D23F7A" w:rsidRPr="00253E57">
        <w:t>,</w:t>
      </w:r>
      <w:r w:rsidR="00EA5FC1" w:rsidRPr="00253E57">
        <w:t xml:space="preserve"> because some IHS facilities may ultimately adopt the VA VITALS/MEASUREMENTS package</w:t>
      </w:r>
      <w:r w:rsidRPr="00253E57">
        <w:t>.</w:t>
      </w:r>
    </w:p>
    <w:p w14:paraId="1B1F37E8" w14:textId="77777777" w:rsidR="00F7607B" w:rsidRPr="00253E57" w:rsidRDefault="00F7607B" w:rsidP="00495840">
      <w:pPr>
        <w:pStyle w:val="BodyTextFirstIndent2"/>
      </w:pPr>
    </w:p>
    <w:p w14:paraId="17B092AE" w14:textId="77777777" w:rsidR="00975828" w:rsidRPr="00253E57" w:rsidRDefault="00EA5FC1" w:rsidP="00C238C7">
      <w:pPr>
        <w:pStyle w:val="BodyTextIndent2"/>
        <w:spacing w:after="120"/>
        <w:rPr>
          <w:b/>
          <w:bCs/>
          <w:szCs w:val="24"/>
        </w:rPr>
      </w:pPr>
      <w:bookmarkStart w:id="15" w:name="_Toc262467461"/>
      <w:r w:rsidRPr="00253E57">
        <w:rPr>
          <w:b/>
          <w:bCs/>
          <w:szCs w:val="24"/>
        </w:rPr>
        <w:t>Provide</w:t>
      </w:r>
      <w:r w:rsidR="00F0106B" w:rsidRPr="00253E57">
        <w:rPr>
          <w:b/>
          <w:bCs/>
          <w:szCs w:val="24"/>
        </w:rPr>
        <w:t>s</w:t>
      </w:r>
      <w:r w:rsidRPr="00253E57">
        <w:rPr>
          <w:b/>
          <w:bCs/>
          <w:szCs w:val="24"/>
        </w:rPr>
        <w:t xml:space="preserve"> IHS Output Device Support</w:t>
      </w:r>
      <w:bookmarkEnd w:id="15"/>
    </w:p>
    <w:p w14:paraId="6BF7D70E" w14:textId="77777777" w:rsidR="00EA5FC1" w:rsidRPr="00253E57" w:rsidRDefault="00EA5FC1" w:rsidP="00495840">
      <w:pPr>
        <w:pStyle w:val="BodyTextIndent2"/>
      </w:pPr>
      <w:r w:rsidRPr="00253E57">
        <w:t>If BCMA recognizes the RPMS operating environment, it add</w:t>
      </w:r>
      <w:r w:rsidR="00DC4BC5" w:rsidRPr="00253E57">
        <w:t>s</w:t>
      </w:r>
      <w:r w:rsidRPr="00253E57">
        <w:t xml:space="preserve"> the output device of OTH “OTHER” to support printing of reports in the IHS AIX operating system.</w:t>
      </w:r>
    </w:p>
    <w:p w14:paraId="1E02169E" w14:textId="77777777" w:rsidR="00EA5FC1" w:rsidRPr="00253E57" w:rsidRDefault="00EA5FC1" w:rsidP="000969B4">
      <w:pPr>
        <w:pStyle w:val="BodyTextFirstIndent2"/>
        <w:ind w:left="0" w:firstLine="0"/>
      </w:pPr>
    </w:p>
    <w:p w14:paraId="512A7FD8" w14:textId="77777777" w:rsidR="000969B4" w:rsidRPr="00253E57" w:rsidRDefault="000969B4" w:rsidP="000969B4">
      <w:pPr>
        <w:pStyle w:val="BodyTextIndent2"/>
        <w:keepNext/>
        <w:spacing w:after="120"/>
        <w:rPr>
          <w:b/>
          <w:iCs/>
          <w:szCs w:val="24"/>
        </w:rPr>
      </w:pPr>
      <w:r w:rsidRPr="00253E57">
        <w:rPr>
          <w:b/>
          <w:iCs/>
          <w:szCs w:val="24"/>
        </w:rPr>
        <w:lastRenderedPageBreak/>
        <w:t xml:space="preserve">Sets System Level </w:t>
      </w:r>
      <w:r w:rsidR="002E4441" w:rsidRPr="00253E57">
        <w:rPr>
          <w:b/>
          <w:iCs/>
          <w:szCs w:val="24"/>
        </w:rPr>
        <w:t xml:space="preserve">IHS </w:t>
      </w:r>
      <w:r w:rsidRPr="00253E57">
        <w:rPr>
          <w:b/>
          <w:iCs/>
          <w:szCs w:val="24"/>
        </w:rPr>
        <w:t>Patient ID Label Default</w:t>
      </w:r>
    </w:p>
    <w:p w14:paraId="66775024" w14:textId="77777777" w:rsidR="000969B4" w:rsidRPr="00253E57" w:rsidRDefault="000969B4" w:rsidP="000969B4">
      <w:pPr>
        <w:pStyle w:val="BodyTextIndent2"/>
        <w:spacing w:after="120"/>
      </w:pPr>
      <w:r w:rsidRPr="00253E57">
        <w:t>Upon installation of the server package, the System level “</w:t>
      </w:r>
      <w:r w:rsidR="002E4441" w:rsidRPr="00253E57">
        <w:t xml:space="preserve">IHS </w:t>
      </w:r>
      <w:r w:rsidRPr="00253E57">
        <w:t xml:space="preserve">Patient ID Label” variable default value, PSB PATIENT ID LABEL, must be set. </w:t>
      </w:r>
    </w:p>
    <w:p w14:paraId="0A4A6AA5" w14:textId="77777777" w:rsidR="000969B4" w:rsidRPr="00253E57" w:rsidRDefault="000969B4" w:rsidP="000969B4">
      <w:pPr>
        <w:pStyle w:val="BodyTextIndent2"/>
        <w:numPr>
          <w:ilvl w:val="0"/>
          <w:numId w:val="8"/>
        </w:numPr>
        <w:spacing w:after="120"/>
      </w:pPr>
      <w:r w:rsidRPr="00253E57">
        <w:t>If the operating environment is RPMS, and the System level variable has no value, the script sets the System level “</w:t>
      </w:r>
      <w:r w:rsidR="002E4441" w:rsidRPr="00253E57">
        <w:t xml:space="preserve">IHS </w:t>
      </w:r>
      <w:r w:rsidRPr="00253E57">
        <w:t xml:space="preserve">Patient ID Label” variable to a default value of “HRN.” </w:t>
      </w:r>
    </w:p>
    <w:p w14:paraId="63E9EF31" w14:textId="77777777" w:rsidR="000969B4" w:rsidRPr="00253E57" w:rsidRDefault="000969B4" w:rsidP="000969B4">
      <w:pPr>
        <w:pStyle w:val="BodyTextIndent2"/>
        <w:numPr>
          <w:ilvl w:val="0"/>
          <w:numId w:val="8"/>
        </w:numPr>
        <w:spacing w:after="120"/>
      </w:pPr>
      <w:r w:rsidRPr="00253E57">
        <w:t>If the operating environment is VistA, the script sets the System level “</w:t>
      </w:r>
      <w:r w:rsidR="002E4441" w:rsidRPr="00253E57">
        <w:t xml:space="preserve">IHS </w:t>
      </w:r>
      <w:r w:rsidRPr="00253E57">
        <w:t xml:space="preserve">Patient ID Label” variable to a default value of “SSN.” </w:t>
      </w:r>
    </w:p>
    <w:p w14:paraId="208A0DEF" w14:textId="77777777" w:rsidR="000969B4" w:rsidRPr="00253E57" w:rsidRDefault="000969B4" w:rsidP="000969B4">
      <w:pPr>
        <w:pStyle w:val="BodyTextIndent2"/>
        <w:numPr>
          <w:ilvl w:val="0"/>
          <w:numId w:val="8"/>
        </w:numPr>
        <w:spacing w:after="120"/>
      </w:pPr>
      <w:r w:rsidRPr="00253E57">
        <w:t>A Division level “</w:t>
      </w:r>
      <w:r w:rsidR="002E4441" w:rsidRPr="00253E57">
        <w:t xml:space="preserve">IHS </w:t>
      </w:r>
      <w:r w:rsidRPr="00253E57">
        <w:t>Patient ID Label” variable having an assigned value takes precedence and overrides the value in the System level “</w:t>
      </w:r>
      <w:r w:rsidR="002E4441" w:rsidRPr="00253E57">
        <w:t xml:space="preserve">IHS </w:t>
      </w:r>
      <w:r w:rsidRPr="00253E57">
        <w:t>Patient ID Label” variable.</w:t>
      </w:r>
    </w:p>
    <w:p w14:paraId="6B454936" w14:textId="77777777" w:rsidR="00217AC9" w:rsidRPr="00253E57" w:rsidRDefault="00217AC9" w:rsidP="00217AC9">
      <w:pPr>
        <w:pStyle w:val="BodyTextIndent2"/>
        <w:spacing w:after="120"/>
      </w:pPr>
      <w:r w:rsidRPr="00253E57">
        <w:t>See the BCMA User Manual, Appendix E: IHS – Parameterization.</w:t>
      </w:r>
    </w:p>
    <w:p w14:paraId="5C169015" w14:textId="77777777" w:rsidR="002F6016" w:rsidRPr="00253E57" w:rsidRDefault="002F6016" w:rsidP="002F6016">
      <w:pPr>
        <w:pStyle w:val="Heading2"/>
      </w:pPr>
      <w:bookmarkStart w:id="16" w:name="_Toc266375017"/>
      <w:bookmarkStart w:id="17" w:name="_Toc266375018"/>
      <w:bookmarkStart w:id="18" w:name="_Toc266375019"/>
      <w:bookmarkStart w:id="19" w:name="_Toc266375020"/>
      <w:bookmarkStart w:id="20" w:name="_Toc266375021"/>
      <w:bookmarkStart w:id="21" w:name="_Toc266375022"/>
      <w:bookmarkStart w:id="22" w:name="_Toc266375023"/>
      <w:bookmarkStart w:id="23" w:name="_Toc266375024"/>
      <w:bookmarkStart w:id="24" w:name="_Toc266375025"/>
      <w:bookmarkStart w:id="25" w:name="_Toc266375026"/>
      <w:bookmarkStart w:id="26" w:name="_Toc266375027"/>
      <w:bookmarkStart w:id="27" w:name="_Toc266375029"/>
      <w:bookmarkStart w:id="28" w:name="_Toc266375031"/>
      <w:bookmarkStart w:id="29" w:name="_Toc266375033"/>
      <w:bookmarkStart w:id="30" w:name="_Toc266375034"/>
      <w:bookmarkStart w:id="31" w:name="_Toc266375035"/>
      <w:bookmarkStart w:id="32" w:name="_Toc266375036"/>
      <w:bookmarkStart w:id="33" w:name="_Toc266375037"/>
      <w:bookmarkStart w:id="34" w:name="_Toc26746621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253E57">
        <w:t>Section 508 Compliance</w:t>
      </w:r>
      <w:bookmarkEnd w:id="34"/>
    </w:p>
    <w:p w14:paraId="68A24C05" w14:textId="77777777" w:rsidR="00454C0F" w:rsidRPr="00253E57" w:rsidRDefault="00454C0F" w:rsidP="00454C0F"/>
    <w:p w14:paraId="354B4637" w14:textId="77777777" w:rsidR="00454C0F" w:rsidRPr="00253E57" w:rsidRDefault="00454C0F" w:rsidP="00C238C7">
      <w:pPr>
        <w:pStyle w:val="BodyTextIndent2"/>
        <w:spacing w:after="120"/>
        <w:rPr>
          <w:b/>
          <w:bCs/>
          <w:szCs w:val="24"/>
        </w:rPr>
      </w:pPr>
      <w:bookmarkStart w:id="35" w:name="_Toc256778759"/>
      <w:r w:rsidRPr="00253E57">
        <w:rPr>
          <w:b/>
          <w:bCs/>
          <w:szCs w:val="24"/>
        </w:rPr>
        <w:t>Recognize</w:t>
      </w:r>
      <w:r w:rsidR="00DC4BC5" w:rsidRPr="00253E57">
        <w:rPr>
          <w:b/>
          <w:bCs/>
          <w:szCs w:val="24"/>
        </w:rPr>
        <w:t>s</w:t>
      </w:r>
      <w:r w:rsidRPr="00253E57">
        <w:rPr>
          <w:b/>
          <w:bCs/>
          <w:szCs w:val="24"/>
        </w:rPr>
        <w:t xml:space="preserve"> JAWS Application</w:t>
      </w:r>
      <w:bookmarkEnd w:id="35"/>
    </w:p>
    <w:p w14:paraId="23D18320" w14:textId="77777777" w:rsidR="00454C0F" w:rsidRPr="00253E57" w:rsidRDefault="00454C0F" w:rsidP="00D74258">
      <w:pPr>
        <w:pStyle w:val="BodyTextIndent2"/>
      </w:pPr>
      <w:r w:rsidRPr="00253E57">
        <w:t>When launching BCMA, the application recognize</w:t>
      </w:r>
      <w:r w:rsidR="00777B65" w:rsidRPr="00253E57">
        <w:t>s</w:t>
      </w:r>
      <w:r w:rsidRPr="00253E57">
        <w:t xml:space="preserve"> whether the JAWS screen reader is currently running. If the screen reader is detected, the BCMA title bar display</w:t>
      </w:r>
      <w:r w:rsidR="00777B65" w:rsidRPr="00253E57">
        <w:t>s</w:t>
      </w:r>
      <w:r w:rsidRPr="00253E57">
        <w:t xml:space="preserve"> “s508”</w:t>
      </w:r>
      <w:r w:rsidR="00DE0711" w:rsidRPr="00253E57">
        <w:t>.</w:t>
      </w:r>
      <w:r w:rsidRPr="00253E57">
        <w:t xml:space="preserve"> </w:t>
      </w:r>
      <w:r w:rsidR="00DE0711" w:rsidRPr="00253E57">
        <w:t>A</w:t>
      </w:r>
      <w:r w:rsidRPr="00253E57">
        <w:t xml:space="preserve">n alternate interface </w:t>
      </w:r>
      <w:r w:rsidR="00777B65" w:rsidRPr="00253E57">
        <w:t>is</w:t>
      </w:r>
      <w:r w:rsidRPr="00253E57">
        <w:t xml:space="preserve"> launched that runs Delphi components</w:t>
      </w:r>
      <w:r w:rsidR="00DE0711" w:rsidRPr="00253E57">
        <w:t>,</w:t>
      </w:r>
      <w:r w:rsidRPr="00253E57">
        <w:t xml:space="preserve"> provid</w:t>
      </w:r>
      <w:r w:rsidR="00DE0711" w:rsidRPr="00253E57">
        <w:t>ing</w:t>
      </w:r>
      <w:r w:rsidRPr="00253E57">
        <w:t xml:space="preserve"> a framework allow</w:t>
      </w:r>
      <w:r w:rsidR="00DE0711" w:rsidRPr="00253E57">
        <w:t>ing</w:t>
      </w:r>
      <w:r w:rsidRPr="00253E57">
        <w:t xml:space="preserve"> keyboard navigation of the BCMA VDL that is compatible with the JAWS screen reader. </w:t>
      </w:r>
    </w:p>
    <w:p w14:paraId="37A01F9E" w14:textId="77777777" w:rsidR="00454C0F" w:rsidRPr="00253E57" w:rsidRDefault="00454C0F" w:rsidP="00454C0F">
      <w:pPr>
        <w:ind w:left="720"/>
      </w:pPr>
    </w:p>
    <w:p w14:paraId="14E9C4B2" w14:textId="77777777" w:rsidR="00454C0F" w:rsidRPr="00253E57" w:rsidRDefault="00DC4BC5" w:rsidP="00C238C7">
      <w:pPr>
        <w:pStyle w:val="BodyTextIndent2"/>
        <w:spacing w:after="120"/>
        <w:rPr>
          <w:b/>
          <w:bCs/>
          <w:szCs w:val="24"/>
        </w:rPr>
      </w:pPr>
      <w:bookmarkStart w:id="36" w:name="_Toc256778760"/>
      <w:r w:rsidRPr="00253E57">
        <w:rPr>
          <w:b/>
          <w:bCs/>
          <w:szCs w:val="24"/>
        </w:rPr>
        <w:t xml:space="preserve">Implemented for </w:t>
      </w:r>
      <w:r w:rsidR="00454C0F" w:rsidRPr="00253E57">
        <w:rPr>
          <w:b/>
          <w:bCs/>
          <w:szCs w:val="24"/>
        </w:rPr>
        <w:t>BCMA GUI Tabs</w:t>
      </w:r>
      <w:bookmarkEnd w:id="36"/>
    </w:p>
    <w:p w14:paraId="672BA166" w14:textId="77777777" w:rsidR="00454C0F" w:rsidRPr="00253E57" w:rsidRDefault="00454C0F" w:rsidP="00D74258">
      <w:pPr>
        <w:pStyle w:val="BodyTextIndent2"/>
      </w:pPr>
      <w:r w:rsidRPr="00253E57">
        <w:t xml:space="preserve">Screen reader functionality </w:t>
      </w:r>
      <w:r w:rsidR="00777B65" w:rsidRPr="00253E57">
        <w:t>is</w:t>
      </w:r>
      <w:r w:rsidRPr="00253E57">
        <w:t xml:space="preserve"> implemented for </w:t>
      </w:r>
      <w:r w:rsidR="001E2963" w:rsidRPr="00253E57">
        <w:t>the following</w:t>
      </w:r>
      <w:r w:rsidRPr="00253E57">
        <w:t xml:space="preserve"> medication tabs on the BCMA VDL</w:t>
      </w:r>
      <w:r w:rsidR="00DE0711" w:rsidRPr="00253E57">
        <w:t>:</w:t>
      </w:r>
      <w:r w:rsidRPr="00253E57">
        <w:t xml:space="preserve"> Unit Dose, Intravenous Push (IVP)/Intravenous Piggy Back (IVPB), and Intravenous (IV).</w:t>
      </w:r>
      <w:r w:rsidR="00990A20" w:rsidRPr="00253E57">
        <w:t xml:space="preserve">  </w:t>
      </w:r>
      <w:r w:rsidR="000969B4" w:rsidRPr="00253E57">
        <w:t>Note that t</w:t>
      </w:r>
      <w:r w:rsidRPr="00253E57">
        <w:t xml:space="preserve">he BCMA Cover Sheet tab </w:t>
      </w:r>
      <w:r w:rsidR="00777B65" w:rsidRPr="00253E57">
        <w:t>is</w:t>
      </w:r>
      <w:r w:rsidRPr="00253E57">
        <w:t xml:space="preserve"> </w:t>
      </w:r>
      <w:r w:rsidR="001A4F0F" w:rsidRPr="00253E57">
        <w:t xml:space="preserve">not </w:t>
      </w:r>
      <w:r w:rsidRPr="00253E57">
        <w:t>compatible with the JAWS screen reader at this time.</w:t>
      </w:r>
    </w:p>
    <w:p w14:paraId="0FDBC3DD" w14:textId="77777777" w:rsidR="00DE0711" w:rsidRPr="00253E57" w:rsidRDefault="00DE0711" w:rsidP="00DE0711">
      <w:pPr>
        <w:ind w:left="720"/>
      </w:pPr>
    </w:p>
    <w:p w14:paraId="7CF5A7C9" w14:textId="77777777" w:rsidR="00DE0711" w:rsidRPr="00253E57" w:rsidRDefault="0026746B" w:rsidP="00C238C7">
      <w:pPr>
        <w:pStyle w:val="BodyTextIndent2"/>
        <w:spacing w:after="120"/>
        <w:rPr>
          <w:b/>
          <w:bCs/>
          <w:szCs w:val="24"/>
        </w:rPr>
      </w:pPr>
      <w:bookmarkStart w:id="37" w:name="_Toc256778761"/>
      <w:r w:rsidRPr="00253E57">
        <w:rPr>
          <w:b/>
          <w:bCs/>
          <w:szCs w:val="24"/>
        </w:rPr>
        <w:t xml:space="preserve">Provides </w:t>
      </w:r>
      <w:r w:rsidR="006F3DB5" w:rsidRPr="00253E57">
        <w:rPr>
          <w:b/>
          <w:bCs/>
          <w:szCs w:val="24"/>
        </w:rPr>
        <w:t xml:space="preserve">Compatible </w:t>
      </w:r>
      <w:r w:rsidR="00454C0F" w:rsidRPr="00253E57">
        <w:rPr>
          <w:b/>
          <w:bCs/>
          <w:szCs w:val="24"/>
        </w:rPr>
        <w:t>Drug Administration Dialogs</w:t>
      </w:r>
      <w:bookmarkEnd w:id="37"/>
    </w:p>
    <w:p w14:paraId="7732B431" w14:textId="77777777" w:rsidR="00454C0F" w:rsidRPr="00253E57" w:rsidRDefault="00454C0F" w:rsidP="00D74258">
      <w:pPr>
        <w:pStyle w:val="BodyTextIndent2"/>
      </w:pPr>
      <w:r w:rsidRPr="00253E57">
        <w:t xml:space="preserve">Drug administration dialogs </w:t>
      </w:r>
      <w:r w:rsidR="003866A2" w:rsidRPr="00253E57">
        <w:t>are</w:t>
      </w:r>
      <w:r w:rsidRPr="00253E57">
        <w:t xml:space="preserve"> compatible with the JAWS screen reader.</w:t>
      </w:r>
    </w:p>
    <w:p w14:paraId="6F37A479" w14:textId="77777777" w:rsidR="0041009B" w:rsidRPr="00253E57" w:rsidRDefault="0041009B" w:rsidP="00D74258">
      <w:pPr>
        <w:pStyle w:val="BodyTextIndent2"/>
      </w:pPr>
    </w:p>
    <w:p w14:paraId="44ADACB8" w14:textId="77777777" w:rsidR="000969B4" w:rsidRPr="00253E57" w:rsidRDefault="000969B4" w:rsidP="000969B4">
      <w:pPr>
        <w:pStyle w:val="BodyTextIndent2"/>
        <w:spacing w:after="120"/>
        <w:rPr>
          <w:b/>
          <w:bCs/>
          <w:szCs w:val="24"/>
        </w:rPr>
      </w:pPr>
      <w:r w:rsidRPr="00253E57">
        <w:rPr>
          <w:b/>
          <w:bCs/>
          <w:szCs w:val="24"/>
        </w:rPr>
        <w:t xml:space="preserve">Provides Enhanced </w:t>
      </w:r>
      <w:r w:rsidR="00715A23" w:rsidRPr="00253E57">
        <w:rPr>
          <w:b/>
          <w:bCs/>
          <w:szCs w:val="24"/>
        </w:rPr>
        <w:t>Accessibility</w:t>
      </w:r>
    </w:p>
    <w:p w14:paraId="55C7E4EF" w14:textId="77777777" w:rsidR="000969B4" w:rsidRPr="00253E57" w:rsidRDefault="000969B4" w:rsidP="00D74258">
      <w:pPr>
        <w:pStyle w:val="BodyTextIndent2"/>
        <w:rPr>
          <w:bCs/>
          <w:szCs w:val="24"/>
        </w:rPr>
      </w:pPr>
      <w:r w:rsidRPr="00253E57">
        <w:rPr>
          <w:bCs/>
          <w:szCs w:val="24"/>
        </w:rPr>
        <w:t>Keyboard shortcuts, field focus, and modified tab order have been added, where necessary, to enhance accessibility.</w:t>
      </w:r>
    </w:p>
    <w:p w14:paraId="70A699B6" w14:textId="77777777" w:rsidR="00217AC9" w:rsidRPr="00253E57" w:rsidRDefault="00217AC9" w:rsidP="00D74258">
      <w:pPr>
        <w:pStyle w:val="BodyTextIndent2"/>
        <w:rPr>
          <w:bCs/>
          <w:szCs w:val="24"/>
        </w:rPr>
      </w:pPr>
    </w:p>
    <w:p w14:paraId="4263C2BE" w14:textId="77777777" w:rsidR="00217AC9" w:rsidRPr="00253E57" w:rsidRDefault="00217AC9" w:rsidP="00D74258">
      <w:pPr>
        <w:pStyle w:val="BodyTextIndent2"/>
        <w:rPr>
          <w:bCs/>
          <w:szCs w:val="24"/>
        </w:rPr>
      </w:pPr>
      <w:r w:rsidRPr="00253E57">
        <w:rPr>
          <w:bCs/>
          <w:szCs w:val="24"/>
        </w:rPr>
        <w:t>See the BCMA User Manual, Appendix D: 508 Compliance.</w:t>
      </w:r>
    </w:p>
    <w:p w14:paraId="0832D4F5" w14:textId="77777777" w:rsidR="00D603DF" w:rsidRPr="00253E57" w:rsidRDefault="00D603DF" w:rsidP="00D74258">
      <w:pPr>
        <w:pStyle w:val="BodyTextIndent2"/>
      </w:pPr>
    </w:p>
    <w:p w14:paraId="21207DFE" w14:textId="77777777" w:rsidR="0041009B" w:rsidRPr="00253E57" w:rsidRDefault="00D603DF" w:rsidP="0041009B">
      <w:pPr>
        <w:pStyle w:val="Heading2"/>
      </w:pPr>
      <w:r w:rsidRPr="00253E57">
        <w:br w:type="page"/>
      </w:r>
      <w:bookmarkStart w:id="38" w:name="_Toc267466219"/>
      <w:r w:rsidR="0041009B" w:rsidRPr="00253E57">
        <w:lastRenderedPageBreak/>
        <w:t>BCMA Site Parameters Application</w:t>
      </w:r>
      <w:bookmarkEnd w:id="38"/>
      <w:r w:rsidR="0041009B" w:rsidRPr="00253E57">
        <w:t xml:space="preserve"> </w:t>
      </w:r>
    </w:p>
    <w:p w14:paraId="768E3B95" w14:textId="77777777" w:rsidR="0041009B" w:rsidRPr="00253E57" w:rsidRDefault="0041009B" w:rsidP="0041009B">
      <w:pPr>
        <w:pStyle w:val="BodyTextIndent2"/>
      </w:pPr>
    </w:p>
    <w:p w14:paraId="4990B9D1" w14:textId="77777777" w:rsidR="0041009B" w:rsidRPr="00253E57" w:rsidRDefault="0026746B" w:rsidP="00217AC9">
      <w:pPr>
        <w:pStyle w:val="BodyTextIndent2"/>
      </w:pPr>
      <w:r w:rsidRPr="00253E57">
        <w:t xml:space="preserve">A new parameter </w:t>
      </w:r>
      <w:r w:rsidR="000969B4" w:rsidRPr="00253E57">
        <w:t xml:space="preserve">has been </w:t>
      </w:r>
      <w:r w:rsidRPr="00253E57">
        <w:t xml:space="preserve">added to the BCMA Parameters application </w:t>
      </w:r>
      <w:r w:rsidR="0041009B" w:rsidRPr="00253E57">
        <w:t>allow</w:t>
      </w:r>
      <w:r w:rsidRPr="00253E57">
        <w:t>ing</w:t>
      </w:r>
      <w:r w:rsidR="0041009B" w:rsidRPr="00253E57">
        <w:t xml:space="preserve"> IHS to customize the patient identifier label used in their environment</w:t>
      </w:r>
      <w:r w:rsidRPr="00253E57">
        <w:t>.</w:t>
      </w:r>
      <w:r w:rsidR="00217AC9" w:rsidRPr="00253E57">
        <w:t xml:space="preserve"> </w:t>
      </w:r>
    </w:p>
    <w:p w14:paraId="503555F9" w14:textId="77777777" w:rsidR="0041009B" w:rsidRPr="00253E57" w:rsidRDefault="0041009B" w:rsidP="0041009B">
      <w:pPr>
        <w:pStyle w:val="BodyTextIndent2"/>
        <w:rPr>
          <w:szCs w:val="24"/>
        </w:rPr>
      </w:pPr>
    </w:p>
    <w:p w14:paraId="29302380" w14:textId="77777777" w:rsidR="0041009B" w:rsidRPr="00253E57" w:rsidRDefault="00E10C68" w:rsidP="00C238C7">
      <w:pPr>
        <w:pStyle w:val="BodyTextIndent2"/>
        <w:spacing w:after="120"/>
        <w:rPr>
          <w:b/>
          <w:bCs/>
          <w:szCs w:val="24"/>
        </w:rPr>
      </w:pPr>
      <w:r w:rsidRPr="00253E57">
        <w:rPr>
          <w:b/>
          <w:bCs/>
          <w:szCs w:val="24"/>
        </w:rPr>
        <w:t xml:space="preserve">New </w:t>
      </w:r>
      <w:r w:rsidR="00E03CC7" w:rsidRPr="00253E57">
        <w:rPr>
          <w:b/>
          <w:bCs/>
          <w:szCs w:val="24"/>
        </w:rPr>
        <w:t>Tab Added to BCMA Site Parameters Application</w:t>
      </w:r>
    </w:p>
    <w:p w14:paraId="36CEAA83" w14:textId="77777777" w:rsidR="00E03CC7" w:rsidRPr="00253E57" w:rsidRDefault="00E03CC7" w:rsidP="0041009B">
      <w:pPr>
        <w:pStyle w:val="BodyTextIndent2"/>
        <w:rPr>
          <w:szCs w:val="24"/>
        </w:rPr>
      </w:pPr>
      <w:r w:rsidRPr="00253E57">
        <w:rPr>
          <w:szCs w:val="24"/>
        </w:rPr>
        <w:t xml:space="preserve">If the operating environment is RPMS, </w:t>
      </w:r>
      <w:r w:rsidR="00E10C68" w:rsidRPr="00253E57">
        <w:rPr>
          <w:szCs w:val="24"/>
        </w:rPr>
        <w:t>a new</w:t>
      </w:r>
      <w:r w:rsidRPr="00253E57">
        <w:rPr>
          <w:szCs w:val="24"/>
        </w:rPr>
        <w:t xml:space="preserve"> tab entitled “IHS” is added to the Parameters application</w:t>
      </w:r>
      <w:r w:rsidR="00E10C68" w:rsidRPr="00253E57">
        <w:rPr>
          <w:szCs w:val="24"/>
        </w:rPr>
        <w:t xml:space="preserve"> which can only be seen when operating in the RPMS environment</w:t>
      </w:r>
      <w:r w:rsidRPr="00253E57">
        <w:rPr>
          <w:szCs w:val="24"/>
        </w:rPr>
        <w:t xml:space="preserve">. </w:t>
      </w:r>
    </w:p>
    <w:p w14:paraId="3170223B" w14:textId="77777777" w:rsidR="0041009B" w:rsidRPr="00253E57" w:rsidRDefault="0041009B" w:rsidP="0041009B">
      <w:pPr>
        <w:pStyle w:val="BodyTextIndent2"/>
        <w:rPr>
          <w:szCs w:val="24"/>
        </w:rPr>
      </w:pPr>
    </w:p>
    <w:p w14:paraId="35DE0594" w14:textId="77777777" w:rsidR="0041009B" w:rsidRPr="00253E57" w:rsidRDefault="00E03CC7" w:rsidP="000969B4">
      <w:pPr>
        <w:pStyle w:val="BodyTextIndent2"/>
        <w:keepNext/>
        <w:keepLines/>
        <w:spacing w:after="120"/>
        <w:rPr>
          <w:b/>
          <w:bCs/>
          <w:szCs w:val="24"/>
        </w:rPr>
      </w:pPr>
      <w:r w:rsidRPr="00253E57">
        <w:rPr>
          <w:b/>
          <w:bCs/>
          <w:szCs w:val="24"/>
        </w:rPr>
        <w:t>Field Added to BCMA Site Parameters Application</w:t>
      </w:r>
    </w:p>
    <w:p w14:paraId="2188D7EF" w14:textId="77777777" w:rsidR="00E03CC7" w:rsidRPr="00253E57" w:rsidRDefault="00E03CC7" w:rsidP="000969B4">
      <w:pPr>
        <w:pStyle w:val="BodyTextIndent2"/>
        <w:keepNext/>
        <w:keepLines/>
        <w:rPr>
          <w:szCs w:val="24"/>
        </w:rPr>
      </w:pPr>
      <w:r w:rsidRPr="00253E57">
        <w:rPr>
          <w:szCs w:val="24"/>
        </w:rPr>
        <w:t>If the operating environment is RPMS, the field entitled “IHS Patient ID Label” is added to the “IHS” tab. This text entry field allows the user to enter a patient ID textual label of up to 5 characters.</w:t>
      </w:r>
      <w:r w:rsidR="00990A20" w:rsidRPr="00253E57">
        <w:rPr>
          <w:szCs w:val="24"/>
        </w:rPr>
        <w:t xml:space="preserve"> </w:t>
      </w:r>
      <w:r w:rsidRPr="00253E57">
        <w:rPr>
          <w:szCs w:val="24"/>
        </w:rPr>
        <w:t>The contents of this field are displayed throughout BCMA GUI forms</w:t>
      </w:r>
      <w:r w:rsidR="00990A20" w:rsidRPr="00253E57">
        <w:rPr>
          <w:szCs w:val="24"/>
        </w:rPr>
        <w:t xml:space="preserve">, </w:t>
      </w:r>
      <w:r w:rsidRPr="00253E57">
        <w:rPr>
          <w:szCs w:val="24"/>
        </w:rPr>
        <w:t>reports</w:t>
      </w:r>
      <w:r w:rsidR="00990A20" w:rsidRPr="00253E57">
        <w:rPr>
          <w:szCs w:val="24"/>
        </w:rPr>
        <w:t>, and e-mail notifications</w:t>
      </w:r>
      <w:r w:rsidRPr="00253E57">
        <w:rPr>
          <w:szCs w:val="24"/>
        </w:rPr>
        <w:t>.</w:t>
      </w:r>
    </w:p>
    <w:p w14:paraId="19D0A526" w14:textId="77777777" w:rsidR="0041009B" w:rsidRPr="00253E57" w:rsidRDefault="0041009B" w:rsidP="000969B4">
      <w:pPr>
        <w:pStyle w:val="BodyTextIndent2"/>
        <w:keepNext/>
        <w:keepLines/>
        <w:rPr>
          <w:szCs w:val="24"/>
        </w:rPr>
      </w:pPr>
    </w:p>
    <w:p w14:paraId="745C548E" w14:textId="77777777" w:rsidR="0041009B" w:rsidRPr="00253E57" w:rsidRDefault="00E03CC7" w:rsidP="00C238C7">
      <w:pPr>
        <w:pStyle w:val="BodyTextIndent2"/>
        <w:keepNext/>
        <w:spacing w:after="120"/>
        <w:rPr>
          <w:b/>
          <w:bCs/>
          <w:szCs w:val="24"/>
        </w:rPr>
      </w:pPr>
      <w:r w:rsidRPr="00253E57">
        <w:rPr>
          <w:b/>
          <w:bCs/>
          <w:szCs w:val="24"/>
        </w:rPr>
        <w:t xml:space="preserve">Patient ID Label Displayed </w:t>
      </w:r>
    </w:p>
    <w:p w14:paraId="1524BCCE" w14:textId="77777777" w:rsidR="0041009B" w:rsidRPr="00253E57" w:rsidRDefault="00E03CC7" w:rsidP="0041009B">
      <w:pPr>
        <w:pStyle w:val="BodyTextIndent2"/>
        <w:rPr>
          <w:szCs w:val="24"/>
        </w:rPr>
      </w:pPr>
      <w:r w:rsidRPr="00253E57">
        <w:rPr>
          <w:szCs w:val="24"/>
        </w:rPr>
        <w:t>If the operating environment is RPMS and the Division level “</w:t>
      </w:r>
      <w:r w:rsidR="002E4441" w:rsidRPr="00253E57">
        <w:rPr>
          <w:szCs w:val="24"/>
        </w:rPr>
        <w:t xml:space="preserve">IHS </w:t>
      </w:r>
      <w:r w:rsidRPr="00253E57">
        <w:rPr>
          <w:szCs w:val="24"/>
        </w:rPr>
        <w:t>Patient ID Label” variable has no value, the program displays the System level “</w:t>
      </w:r>
      <w:r w:rsidR="002E4441" w:rsidRPr="00253E57">
        <w:rPr>
          <w:szCs w:val="24"/>
        </w:rPr>
        <w:t xml:space="preserve">IHS </w:t>
      </w:r>
      <w:r w:rsidRPr="00253E57">
        <w:rPr>
          <w:szCs w:val="24"/>
        </w:rPr>
        <w:t>Patient ID Label” variable value in the “IHS Patient ID Label” field.</w:t>
      </w:r>
    </w:p>
    <w:p w14:paraId="3D6BEFFF" w14:textId="77777777" w:rsidR="00E03CC7" w:rsidRPr="00253E57" w:rsidRDefault="00E03CC7" w:rsidP="0041009B">
      <w:pPr>
        <w:pStyle w:val="BodyTextIndent2"/>
        <w:rPr>
          <w:szCs w:val="24"/>
        </w:rPr>
      </w:pPr>
      <w:r w:rsidRPr="00253E57">
        <w:rPr>
          <w:szCs w:val="24"/>
        </w:rPr>
        <w:t xml:space="preserve"> </w:t>
      </w:r>
    </w:p>
    <w:p w14:paraId="70E2D636" w14:textId="77777777" w:rsidR="00E03CC7" w:rsidRPr="00253E57" w:rsidRDefault="00E03CC7" w:rsidP="0041009B">
      <w:pPr>
        <w:pStyle w:val="BodyTextIndent2"/>
        <w:rPr>
          <w:szCs w:val="24"/>
        </w:rPr>
      </w:pPr>
      <w:r w:rsidRPr="00253E57">
        <w:rPr>
          <w:szCs w:val="24"/>
        </w:rPr>
        <w:t>If the Division level “</w:t>
      </w:r>
      <w:r w:rsidR="002E4441" w:rsidRPr="00253E57">
        <w:rPr>
          <w:szCs w:val="24"/>
        </w:rPr>
        <w:t xml:space="preserve">IHS </w:t>
      </w:r>
      <w:r w:rsidRPr="00253E57">
        <w:rPr>
          <w:szCs w:val="24"/>
        </w:rPr>
        <w:t>Patient ID Label” variable has a value assigned to it, the program displays the Division level “</w:t>
      </w:r>
      <w:r w:rsidR="002E4441" w:rsidRPr="00253E57">
        <w:rPr>
          <w:szCs w:val="24"/>
        </w:rPr>
        <w:t xml:space="preserve">IHS </w:t>
      </w:r>
      <w:r w:rsidRPr="00253E57">
        <w:rPr>
          <w:szCs w:val="24"/>
        </w:rPr>
        <w:t>Patient ID Label” variable value in the “IHS Patient ID Label” field.</w:t>
      </w:r>
    </w:p>
    <w:p w14:paraId="4940C7E2" w14:textId="77777777" w:rsidR="0041009B" w:rsidRPr="00253E57" w:rsidRDefault="0041009B" w:rsidP="0041009B">
      <w:pPr>
        <w:pStyle w:val="BodyTextIndent2"/>
        <w:rPr>
          <w:szCs w:val="24"/>
        </w:rPr>
      </w:pPr>
    </w:p>
    <w:p w14:paraId="55410317" w14:textId="77777777" w:rsidR="00E03CC7" w:rsidRPr="00253E57" w:rsidRDefault="00E03CC7" w:rsidP="0041009B">
      <w:pPr>
        <w:pStyle w:val="BodyTextIndent2"/>
        <w:rPr>
          <w:szCs w:val="24"/>
        </w:rPr>
      </w:pPr>
      <w:r w:rsidRPr="00253E57">
        <w:rPr>
          <w:szCs w:val="24"/>
        </w:rPr>
        <w:t>If the operating environment is RPMS and both Division and System level “</w:t>
      </w:r>
      <w:r w:rsidR="002E4441" w:rsidRPr="00253E57">
        <w:rPr>
          <w:szCs w:val="24"/>
        </w:rPr>
        <w:t xml:space="preserve">IHS </w:t>
      </w:r>
      <w:r w:rsidRPr="00253E57">
        <w:rPr>
          <w:szCs w:val="24"/>
        </w:rPr>
        <w:t>Patient ID Label” variables have no value, the program displays the “IHS Patient ID Label” field as blank and BCMA displays “PtID” as the default value for “</w:t>
      </w:r>
      <w:r w:rsidR="002E4441" w:rsidRPr="00253E57">
        <w:rPr>
          <w:szCs w:val="24"/>
        </w:rPr>
        <w:t xml:space="preserve">IHS </w:t>
      </w:r>
      <w:r w:rsidRPr="00253E57">
        <w:rPr>
          <w:szCs w:val="24"/>
        </w:rPr>
        <w:t xml:space="preserve">Patient ID Label.” </w:t>
      </w:r>
    </w:p>
    <w:p w14:paraId="3A2068F7" w14:textId="77777777" w:rsidR="0041009B" w:rsidRPr="00253E57" w:rsidRDefault="0041009B" w:rsidP="0041009B">
      <w:pPr>
        <w:pStyle w:val="BodyTextIndent2"/>
        <w:rPr>
          <w:szCs w:val="24"/>
        </w:rPr>
      </w:pPr>
    </w:p>
    <w:p w14:paraId="08679CE2" w14:textId="77777777" w:rsidR="0041009B" w:rsidRPr="00253E57" w:rsidRDefault="00E03CC7" w:rsidP="00C238C7">
      <w:pPr>
        <w:pStyle w:val="BodyTextIndent2"/>
        <w:spacing w:after="120"/>
        <w:rPr>
          <w:szCs w:val="24"/>
        </w:rPr>
      </w:pPr>
      <w:r w:rsidRPr="00253E57">
        <w:rPr>
          <w:b/>
          <w:szCs w:val="24"/>
        </w:rPr>
        <w:t xml:space="preserve">User Selected Patient ID Label Stored </w:t>
      </w:r>
    </w:p>
    <w:p w14:paraId="09FA32B7" w14:textId="77777777" w:rsidR="00E03CC7" w:rsidRPr="00253E57" w:rsidRDefault="00E03CC7" w:rsidP="0041009B">
      <w:pPr>
        <w:pStyle w:val="BodyTextIndent2"/>
        <w:rPr>
          <w:szCs w:val="24"/>
        </w:rPr>
      </w:pPr>
      <w:r w:rsidRPr="00253E57">
        <w:rPr>
          <w:szCs w:val="24"/>
        </w:rPr>
        <w:t>If the operating environment is RPMS and the user entry for “IHS Patient ID Label” differs from the System level value, the program stores the user entry to the Division level variable.</w:t>
      </w:r>
    </w:p>
    <w:p w14:paraId="5E785B30" w14:textId="77777777" w:rsidR="00217AC9" w:rsidRPr="00253E57" w:rsidRDefault="00217AC9" w:rsidP="0041009B">
      <w:pPr>
        <w:pStyle w:val="BodyTextIndent2"/>
        <w:rPr>
          <w:szCs w:val="24"/>
        </w:rPr>
      </w:pPr>
    </w:p>
    <w:p w14:paraId="4A4F2FEE" w14:textId="77777777" w:rsidR="00217AC9" w:rsidRPr="00253E57" w:rsidRDefault="00217AC9" w:rsidP="0041009B">
      <w:pPr>
        <w:pStyle w:val="BodyTextIndent2"/>
        <w:rPr>
          <w:szCs w:val="24"/>
        </w:rPr>
      </w:pPr>
      <w:r w:rsidRPr="00253E57">
        <w:t>See the BCMA Manager’s User Manual, Appendix A: Setting Site Parameters for IHS.</w:t>
      </w:r>
    </w:p>
    <w:p w14:paraId="5AEEA217" w14:textId="77777777" w:rsidR="00990A20" w:rsidRPr="00253E57" w:rsidRDefault="00990A20" w:rsidP="00990A20"/>
    <w:p w14:paraId="0FCD2406" w14:textId="77777777" w:rsidR="00604A4F" w:rsidRPr="00253E57" w:rsidRDefault="00E03CC7" w:rsidP="000969B4">
      <w:pPr>
        <w:pStyle w:val="Heading1"/>
      </w:pPr>
      <w:r w:rsidRPr="00253E57">
        <w:br w:type="page"/>
      </w:r>
      <w:bookmarkStart w:id="39" w:name="_Toc267466220"/>
      <w:r w:rsidR="00604A4F" w:rsidRPr="00253E57">
        <w:lastRenderedPageBreak/>
        <w:t>VMP Corrections</w:t>
      </w:r>
      <w:bookmarkEnd w:id="39"/>
    </w:p>
    <w:p w14:paraId="4BEBC196" w14:textId="77777777" w:rsidR="00604A4F" w:rsidRPr="00253E57" w:rsidRDefault="00604A4F" w:rsidP="00604A4F"/>
    <w:p w14:paraId="2E6E754E" w14:textId="77777777" w:rsidR="00604A4F" w:rsidRPr="00253E57" w:rsidRDefault="00604A4F" w:rsidP="00604A4F">
      <w:pPr>
        <w:rPr>
          <w:szCs w:val="24"/>
        </w:rPr>
      </w:pPr>
      <w:r w:rsidRPr="00253E57">
        <w:rPr>
          <w:szCs w:val="24"/>
        </w:rPr>
        <w:t xml:space="preserve">Several Remedy tickets have been resolved by the VistA Maintenance Project team and are included in this patch. They are listed below with their corresponding HD number. Two of the corrections are patient safety issues and are listed with their PSPO numbers. </w:t>
      </w:r>
    </w:p>
    <w:p w14:paraId="5E96F4B2" w14:textId="77777777" w:rsidR="00604A4F" w:rsidRPr="00253E57" w:rsidRDefault="00604A4F" w:rsidP="00604A4F">
      <w:pPr>
        <w:rPr>
          <w:szCs w:val="24"/>
        </w:rPr>
      </w:pPr>
    </w:p>
    <w:p w14:paraId="603635D1" w14:textId="77777777" w:rsidR="00604A4F" w:rsidRPr="00253E57" w:rsidRDefault="00604A4F" w:rsidP="00604A4F">
      <w:pPr>
        <w:pStyle w:val="Heading31"/>
        <w:keepNext/>
        <w:spacing w:before="100" w:beforeAutospacing="1" w:after="120"/>
        <w:rPr>
          <w:szCs w:val="24"/>
        </w:rPr>
      </w:pPr>
      <w:r w:rsidRPr="00253E57">
        <w:rPr>
          <w:szCs w:val="24"/>
        </w:rPr>
        <w:t>HD221177 – PSPO #823 - IV Infusion Hold Orders Not Working Properly</w:t>
      </w:r>
    </w:p>
    <w:p w14:paraId="1ABB7502" w14:textId="77777777" w:rsidR="00604A4F" w:rsidRPr="00253E57" w:rsidRDefault="00604A4F" w:rsidP="00604A4F">
      <w:pPr>
        <w:pStyle w:val="Normal4"/>
        <w:numPr>
          <w:ilvl w:val="0"/>
          <w:numId w:val="3"/>
        </w:numPr>
        <w:spacing w:before="100" w:beforeAutospacing="1"/>
        <w:ind w:left="1440" w:hanging="630"/>
        <w:rPr>
          <w:sz w:val="24"/>
          <w:szCs w:val="24"/>
        </w:rPr>
      </w:pPr>
      <w:r w:rsidRPr="00253E57">
        <w:rPr>
          <w:b/>
          <w:sz w:val="24"/>
          <w:szCs w:val="24"/>
        </w:rPr>
        <w:t>Problem</w:t>
      </w:r>
      <w:r w:rsidRPr="00253E57">
        <w:rPr>
          <w:sz w:val="24"/>
          <w:szCs w:val="24"/>
        </w:rPr>
        <w:t xml:space="preserve"> – If an IV order is already infusing when it is placed on provider hold, the IV can be stopped and then infused again while still on provider hold.</w:t>
      </w:r>
    </w:p>
    <w:p w14:paraId="24849EA7" w14:textId="77777777" w:rsidR="00604A4F" w:rsidRPr="00253E57" w:rsidRDefault="00604A4F" w:rsidP="00604A4F">
      <w:pPr>
        <w:pStyle w:val="Normal4"/>
        <w:numPr>
          <w:ilvl w:val="0"/>
          <w:numId w:val="3"/>
        </w:numPr>
        <w:spacing w:before="100" w:beforeAutospacing="1"/>
        <w:ind w:left="1440" w:hanging="630"/>
        <w:rPr>
          <w:sz w:val="24"/>
          <w:szCs w:val="24"/>
        </w:rPr>
      </w:pPr>
      <w:r w:rsidRPr="00253E57">
        <w:rPr>
          <w:b/>
          <w:sz w:val="24"/>
          <w:szCs w:val="24"/>
        </w:rPr>
        <w:t>Solution</w:t>
      </w:r>
      <w:r w:rsidRPr="00253E57">
        <w:rPr>
          <w:sz w:val="24"/>
          <w:szCs w:val="24"/>
        </w:rPr>
        <w:t xml:space="preserve"> – </w:t>
      </w:r>
      <w:r w:rsidR="008B06F7" w:rsidRPr="00253E57">
        <w:rPr>
          <w:sz w:val="24"/>
          <w:szCs w:val="24"/>
        </w:rPr>
        <w:t xml:space="preserve">If </w:t>
      </w:r>
      <w:r w:rsidR="008B06F7" w:rsidRPr="003B716F">
        <w:rPr>
          <w:color w:val="000000"/>
          <w:sz w:val="24"/>
          <w:szCs w:val="24"/>
        </w:rPr>
        <w:t xml:space="preserve">an IV bag is at a </w:t>
      </w:r>
      <w:r w:rsidR="00791405" w:rsidRPr="003B716F">
        <w:rPr>
          <w:color w:val="000000"/>
          <w:sz w:val="24"/>
          <w:szCs w:val="24"/>
        </w:rPr>
        <w:t>S</w:t>
      </w:r>
      <w:r w:rsidR="008B06F7" w:rsidRPr="003B716F">
        <w:rPr>
          <w:color w:val="000000"/>
          <w:sz w:val="24"/>
          <w:szCs w:val="24"/>
        </w:rPr>
        <w:t xml:space="preserve">topped status and the order is placed on </w:t>
      </w:r>
      <w:r w:rsidR="00791405" w:rsidRPr="003B716F">
        <w:rPr>
          <w:color w:val="000000"/>
          <w:sz w:val="24"/>
          <w:szCs w:val="24"/>
        </w:rPr>
        <w:t>P</w:t>
      </w:r>
      <w:r w:rsidR="008B06F7" w:rsidRPr="003B716F">
        <w:rPr>
          <w:color w:val="000000"/>
          <w:sz w:val="24"/>
          <w:szCs w:val="24"/>
        </w:rPr>
        <w:t xml:space="preserve">rovider </w:t>
      </w:r>
      <w:r w:rsidR="00791405" w:rsidRPr="003B716F">
        <w:rPr>
          <w:color w:val="000000"/>
          <w:sz w:val="24"/>
          <w:szCs w:val="24"/>
        </w:rPr>
        <w:t>H</w:t>
      </w:r>
      <w:r w:rsidR="008B06F7" w:rsidRPr="003B716F">
        <w:rPr>
          <w:color w:val="000000"/>
          <w:sz w:val="24"/>
          <w:szCs w:val="24"/>
        </w:rPr>
        <w:t xml:space="preserve">old, the only available option is to </w:t>
      </w:r>
      <w:r w:rsidR="00791405" w:rsidRPr="003B716F">
        <w:rPr>
          <w:color w:val="000000"/>
          <w:sz w:val="24"/>
          <w:szCs w:val="24"/>
        </w:rPr>
        <w:t>C</w:t>
      </w:r>
      <w:r w:rsidR="008B06F7" w:rsidRPr="003B716F">
        <w:rPr>
          <w:color w:val="000000"/>
          <w:sz w:val="24"/>
          <w:szCs w:val="24"/>
        </w:rPr>
        <w:t>omplete the bag.</w:t>
      </w:r>
      <w:r w:rsidR="001E337B" w:rsidRPr="00253E57">
        <w:rPr>
          <w:sz w:val="24"/>
          <w:szCs w:val="24"/>
        </w:rPr>
        <w:t xml:space="preserve"> See below example.</w:t>
      </w:r>
    </w:p>
    <w:p w14:paraId="0EC726BE" w14:textId="77777777" w:rsidR="006456FB" w:rsidRPr="00253E57" w:rsidRDefault="006456FB" w:rsidP="006456FB">
      <w:pPr>
        <w:pStyle w:val="Normal4"/>
        <w:spacing w:before="100" w:beforeAutospacing="1"/>
        <w:ind w:left="1440"/>
        <w:jc w:val="center"/>
        <w:rPr>
          <w:rFonts w:ascii="Arial" w:hAnsi="Arial" w:cs="Arial"/>
          <w:b/>
          <w:sz w:val="24"/>
          <w:szCs w:val="24"/>
        </w:rPr>
      </w:pPr>
      <w:r w:rsidRPr="00253E57">
        <w:rPr>
          <w:rFonts w:ascii="Arial" w:hAnsi="Arial" w:cs="Arial"/>
          <w:b/>
          <w:sz w:val="24"/>
          <w:szCs w:val="24"/>
        </w:rPr>
        <w:t>Example: Scan IV Dialog Box</w:t>
      </w:r>
    </w:p>
    <w:p w14:paraId="0925F1BC" w14:textId="77777777" w:rsidR="006456FB" w:rsidRPr="00253E57" w:rsidRDefault="00AC45AB" w:rsidP="006456FB">
      <w:pPr>
        <w:pStyle w:val="Normal4"/>
        <w:spacing w:before="100" w:beforeAutospacing="1"/>
        <w:ind w:left="1440"/>
        <w:jc w:val="center"/>
        <w:rPr>
          <w:sz w:val="24"/>
          <w:szCs w:val="24"/>
        </w:rPr>
      </w:pPr>
      <w:r>
        <w:rPr>
          <w:sz w:val="24"/>
          <w:szCs w:val="24"/>
        </w:rPr>
        <w:pict w14:anchorId="2BFCCA24">
          <v:shape id="_x0000_i1026" type="#_x0000_t75" style="width:233.25pt;height:5in">
            <v:imagedata r:id="rId15" o:title="Scan IV"/>
          </v:shape>
        </w:pict>
      </w:r>
    </w:p>
    <w:p w14:paraId="0FB7814E" w14:textId="77777777" w:rsidR="00604A4F" w:rsidRPr="00253E57" w:rsidRDefault="00604A4F" w:rsidP="00604A4F">
      <w:pPr>
        <w:pStyle w:val="Heading31"/>
        <w:keepNext/>
        <w:spacing w:before="100" w:beforeAutospacing="1" w:after="120"/>
        <w:rPr>
          <w:szCs w:val="24"/>
        </w:rPr>
      </w:pPr>
      <w:r w:rsidRPr="00253E57">
        <w:rPr>
          <w:szCs w:val="24"/>
        </w:rPr>
        <w:lastRenderedPageBreak/>
        <w:t>HD390027 – PSPO #1678 - Multi-tab Dose Popup Blocks Dosage</w:t>
      </w:r>
    </w:p>
    <w:p w14:paraId="0DE8562B" w14:textId="77777777" w:rsidR="00604A4F" w:rsidRPr="00253E57" w:rsidRDefault="00604A4F" w:rsidP="00604A4F">
      <w:pPr>
        <w:pStyle w:val="Normal4"/>
        <w:numPr>
          <w:ilvl w:val="0"/>
          <w:numId w:val="3"/>
        </w:numPr>
        <w:spacing w:before="100" w:beforeAutospacing="1"/>
        <w:ind w:left="1440" w:hanging="630"/>
        <w:rPr>
          <w:sz w:val="24"/>
          <w:szCs w:val="24"/>
        </w:rPr>
      </w:pPr>
      <w:r w:rsidRPr="00253E57">
        <w:rPr>
          <w:b/>
          <w:sz w:val="24"/>
          <w:szCs w:val="24"/>
        </w:rPr>
        <w:t>Problem</w:t>
      </w:r>
      <w:r w:rsidRPr="00253E57">
        <w:rPr>
          <w:sz w:val="24"/>
          <w:szCs w:val="24"/>
        </w:rPr>
        <w:t xml:space="preserve"> – The Multiple Dose pop up box covers the Dosage on the BCMA VDL.</w:t>
      </w:r>
    </w:p>
    <w:p w14:paraId="253E7861" w14:textId="77777777" w:rsidR="001E337B" w:rsidRPr="00253E57" w:rsidRDefault="00604A4F" w:rsidP="00604A4F">
      <w:pPr>
        <w:pStyle w:val="Normal4"/>
        <w:numPr>
          <w:ilvl w:val="0"/>
          <w:numId w:val="3"/>
        </w:numPr>
        <w:spacing w:before="100" w:beforeAutospacing="1"/>
        <w:ind w:left="1440" w:hanging="630"/>
        <w:rPr>
          <w:sz w:val="24"/>
          <w:szCs w:val="24"/>
        </w:rPr>
      </w:pPr>
      <w:r w:rsidRPr="00253E57">
        <w:rPr>
          <w:b/>
          <w:sz w:val="24"/>
          <w:szCs w:val="24"/>
        </w:rPr>
        <w:t xml:space="preserve">Solution - </w:t>
      </w:r>
      <w:r w:rsidRPr="00253E57">
        <w:rPr>
          <w:sz w:val="24"/>
          <w:szCs w:val="24"/>
        </w:rPr>
        <w:t>The field “Dosage Ordered” will be added to the “Multiple Dose” Form.</w:t>
      </w:r>
      <w:r w:rsidR="009C7DE1" w:rsidRPr="00253E57">
        <w:rPr>
          <w:sz w:val="24"/>
          <w:szCs w:val="24"/>
        </w:rPr>
        <w:t xml:space="preserve"> See below example.</w:t>
      </w:r>
    </w:p>
    <w:p w14:paraId="689CE306" w14:textId="77777777" w:rsidR="009C7DE1" w:rsidRPr="00253E57" w:rsidRDefault="001E337B" w:rsidP="001E337B">
      <w:pPr>
        <w:pStyle w:val="Normal4"/>
        <w:spacing w:before="100" w:beforeAutospacing="1"/>
        <w:ind w:left="0"/>
        <w:jc w:val="center"/>
        <w:rPr>
          <w:rFonts w:ascii="Arial" w:hAnsi="Arial" w:cs="Arial"/>
          <w:b/>
          <w:sz w:val="24"/>
          <w:szCs w:val="24"/>
        </w:rPr>
      </w:pPr>
      <w:r w:rsidRPr="00253E57">
        <w:rPr>
          <w:sz w:val="24"/>
          <w:szCs w:val="24"/>
        </w:rPr>
        <w:t xml:space="preserve">           </w:t>
      </w:r>
      <w:r w:rsidR="009C7DE1" w:rsidRPr="00253E57">
        <w:rPr>
          <w:rFonts w:ascii="Arial" w:hAnsi="Arial" w:cs="Arial"/>
          <w:b/>
          <w:sz w:val="24"/>
          <w:szCs w:val="24"/>
        </w:rPr>
        <w:t>Example: Multiple Dose Dialog Box</w:t>
      </w:r>
    </w:p>
    <w:p w14:paraId="65BE4973" w14:textId="77777777" w:rsidR="009C7DE1" w:rsidRPr="00253E57" w:rsidRDefault="00AC45AB" w:rsidP="001E337B">
      <w:pPr>
        <w:pStyle w:val="Normal4"/>
        <w:spacing w:before="100" w:beforeAutospacing="1"/>
        <w:ind w:left="720"/>
        <w:jc w:val="center"/>
        <w:rPr>
          <w:sz w:val="24"/>
          <w:szCs w:val="24"/>
        </w:rPr>
      </w:pPr>
      <w:r>
        <w:pict w14:anchorId="1BE38340">
          <v:shape id="_x0000_i1027" type="#_x0000_t75" style="width:234.75pt;height:246.75pt">
            <v:imagedata r:id="rId16" o:title=""/>
          </v:shape>
        </w:pict>
      </w:r>
    </w:p>
    <w:p w14:paraId="5014ACAC" w14:textId="77777777" w:rsidR="00604A4F" w:rsidRPr="00253E57" w:rsidRDefault="00604A4F" w:rsidP="00604A4F">
      <w:pPr>
        <w:pStyle w:val="Heading31"/>
        <w:keepNext/>
        <w:spacing w:before="100" w:beforeAutospacing="1" w:after="120"/>
        <w:rPr>
          <w:szCs w:val="24"/>
        </w:rPr>
      </w:pPr>
      <w:r w:rsidRPr="00253E57">
        <w:rPr>
          <w:szCs w:val="24"/>
        </w:rPr>
        <w:t>HD293514 – BCMA Order Problem Messages - Replicating</w:t>
      </w:r>
    </w:p>
    <w:p w14:paraId="443131E7" w14:textId="77777777" w:rsidR="00604A4F" w:rsidRPr="00253E57" w:rsidRDefault="00604A4F" w:rsidP="00604A4F">
      <w:pPr>
        <w:pStyle w:val="Normal4"/>
        <w:numPr>
          <w:ilvl w:val="0"/>
          <w:numId w:val="3"/>
        </w:numPr>
        <w:spacing w:before="100" w:beforeAutospacing="1"/>
        <w:ind w:left="1440" w:hanging="630"/>
        <w:rPr>
          <w:sz w:val="24"/>
          <w:szCs w:val="24"/>
        </w:rPr>
      </w:pPr>
      <w:r w:rsidRPr="00253E57">
        <w:rPr>
          <w:b/>
          <w:sz w:val="24"/>
          <w:szCs w:val="24"/>
        </w:rPr>
        <w:t>Problem</w:t>
      </w:r>
      <w:r w:rsidRPr="00253E57">
        <w:rPr>
          <w:sz w:val="24"/>
          <w:szCs w:val="24"/>
        </w:rPr>
        <w:t xml:space="preserve"> – An infinite loop with the reoccurring Mailman messages occurs when the Administration Times Report is run from a laptop with an invalid M</w:t>
      </w:r>
      <w:r w:rsidR="00FA758F" w:rsidRPr="00253E57">
        <w:rPr>
          <w:sz w:val="24"/>
          <w:szCs w:val="24"/>
        </w:rPr>
        <w:t>UMPS</w:t>
      </w:r>
      <w:r w:rsidRPr="00253E57">
        <w:rPr>
          <w:sz w:val="24"/>
          <w:szCs w:val="24"/>
        </w:rPr>
        <w:t xml:space="preserve"> date (a date prior to 12/31/1845).</w:t>
      </w:r>
    </w:p>
    <w:p w14:paraId="2E544894" w14:textId="77777777" w:rsidR="00604A4F" w:rsidRPr="00253E57" w:rsidRDefault="00604A4F" w:rsidP="00604A4F">
      <w:pPr>
        <w:pStyle w:val="Normal4"/>
        <w:numPr>
          <w:ilvl w:val="0"/>
          <w:numId w:val="3"/>
        </w:numPr>
        <w:spacing w:before="100" w:beforeAutospacing="1"/>
        <w:ind w:left="1440" w:hanging="630"/>
        <w:rPr>
          <w:sz w:val="24"/>
          <w:szCs w:val="24"/>
        </w:rPr>
      </w:pPr>
      <w:r w:rsidRPr="00253E57">
        <w:rPr>
          <w:b/>
          <w:sz w:val="24"/>
          <w:szCs w:val="24"/>
        </w:rPr>
        <w:t>Solution</w:t>
      </w:r>
      <w:r w:rsidRPr="00253E57">
        <w:rPr>
          <w:sz w:val="24"/>
          <w:szCs w:val="24"/>
        </w:rPr>
        <w:t xml:space="preserve"> – The infinite loop will be corrected by PSB*3*56.  This patch will only change the default time for the reports.  The default time for reports is currently the Laptop time.  This correction will change the default time to the server time.</w:t>
      </w:r>
    </w:p>
    <w:p w14:paraId="7271318D" w14:textId="77777777" w:rsidR="00604A4F" w:rsidRPr="00253E57" w:rsidRDefault="00604A4F" w:rsidP="00604A4F">
      <w:pPr>
        <w:pStyle w:val="Heading31"/>
        <w:keepNext/>
        <w:spacing w:before="100" w:beforeAutospacing="1" w:after="120"/>
        <w:rPr>
          <w:szCs w:val="24"/>
        </w:rPr>
      </w:pPr>
      <w:r w:rsidRPr="00253E57">
        <w:rPr>
          <w:szCs w:val="24"/>
        </w:rPr>
        <w:t>HD102421 – Comment Will Accept a Space</w:t>
      </w:r>
    </w:p>
    <w:p w14:paraId="7B86DB9D" w14:textId="77777777" w:rsidR="00604A4F" w:rsidRPr="00253E57" w:rsidRDefault="00604A4F" w:rsidP="00604A4F">
      <w:pPr>
        <w:pStyle w:val="Normal4"/>
        <w:numPr>
          <w:ilvl w:val="0"/>
          <w:numId w:val="3"/>
        </w:numPr>
        <w:spacing w:before="100" w:beforeAutospacing="1"/>
        <w:ind w:left="1440" w:hanging="630"/>
        <w:rPr>
          <w:sz w:val="24"/>
          <w:szCs w:val="24"/>
        </w:rPr>
      </w:pPr>
      <w:r w:rsidRPr="00253E57">
        <w:rPr>
          <w:b/>
          <w:sz w:val="24"/>
          <w:szCs w:val="24"/>
        </w:rPr>
        <w:t>Problem</w:t>
      </w:r>
      <w:r w:rsidRPr="00253E57">
        <w:rPr>
          <w:sz w:val="24"/>
          <w:szCs w:val="24"/>
        </w:rPr>
        <w:t xml:space="preserve"> – When an order is given outside of the Allowable Time Limit, the Medication Log form will allow a space instead of a valid comment.</w:t>
      </w:r>
    </w:p>
    <w:p w14:paraId="7FA41DBA" w14:textId="77777777" w:rsidR="00604A4F" w:rsidRPr="00253E57" w:rsidRDefault="00604A4F" w:rsidP="00604A4F">
      <w:pPr>
        <w:pStyle w:val="Normal4"/>
        <w:numPr>
          <w:ilvl w:val="0"/>
          <w:numId w:val="3"/>
        </w:numPr>
        <w:spacing w:before="100" w:beforeAutospacing="1"/>
        <w:ind w:left="1440" w:hanging="630"/>
        <w:rPr>
          <w:sz w:val="24"/>
          <w:szCs w:val="24"/>
        </w:rPr>
      </w:pPr>
      <w:r w:rsidRPr="00253E57">
        <w:rPr>
          <w:b/>
          <w:sz w:val="24"/>
          <w:szCs w:val="24"/>
        </w:rPr>
        <w:t>Solution</w:t>
      </w:r>
      <w:r w:rsidRPr="00253E57">
        <w:rPr>
          <w:sz w:val="24"/>
          <w:szCs w:val="24"/>
        </w:rPr>
        <w:t xml:space="preserve"> – A valid character will be required in the comment field before OK can be clicked.</w:t>
      </w:r>
    </w:p>
    <w:p w14:paraId="561566F9" w14:textId="77777777" w:rsidR="00604A4F" w:rsidRPr="00253E57" w:rsidRDefault="00604A4F" w:rsidP="00604A4F">
      <w:pPr>
        <w:pStyle w:val="Heading31"/>
        <w:keepNext/>
        <w:spacing w:before="100" w:beforeAutospacing="1" w:after="120"/>
        <w:rPr>
          <w:szCs w:val="24"/>
        </w:rPr>
      </w:pPr>
      <w:r w:rsidRPr="00253E57">
        <w:rPr>
          <w:szCs w:val="24"/>
        </w:rPr>
        <w:lastRenderedPageBreak/>
        <w:t>HD380321 – Reason for Missing Dose Issue</w:t>
      </w:r>
    </w:p>
    <w:p w14:paraId="0E1C48C9" w14:textId="77777777" w:rsidR="00604A4F" w:rsidRPr="00253E57" w:rsidRDefault="00604A4F" w:rsidP="00604A4F">
      <w:pPr>
        <w:pStyle w:val="Normal4"/>
        <w:keepNext/>
        <w:numPr>
          <w:ilvl w:val="0"/>
          <w:numId w:val="3"/>
        </w:numPr>
        <w:spacing w:before="100" w:beforeAutospacing="1"/>
        <w:ind w:left="1440" w:hanging="634"/>
        <w:rPr>
          <w:sz w:val="24"/>
          <w:szCs w:val="24"/>
        </w:rPr>
      </w:pPr>
      <w:r w:rsidRPr="00253E57">
        <w:rPr>
          <w:b/>
          <w:sz w:val="24"/>
          <w:szCs w:val="24"/>
        </w:rPr>
        <w:t>Problem</w:t>
      </w:r>
      <w:r w:rsidRPr="00253E57">
        <w:rPr>
          <w:sz w:val="24"/>
          <w:szCs w:val="24"/>
        </w:rPr>
        <w:t xml:space="preserve"> – </w:t>
      </w:r>
      <w:r w:rsidR="00232153" w:rsidRPr="00253E57">
        <w:rPr>
          <w:sz w:val="24"/>
          <w:szCs w:val="24"/>
        </w:rPr>
        <w:t xml:space="preserve">Barcode/IEN Illegible, </w:t>
      </w:r>
      <w:r w:rsidRPr="00253E57">
        <w:rPr>
          <w:sz w:val="24"/>
          <w:szCs w:val="24"/>
        </w:rPr>
        <w:t>Package Integrity Damaged, Wrong Dose/Drug Delivered and are missing from the Missing Dose Request Reasons Drop Down.</w:t>
      </w:r>
    </w:p>
    <w:p w14:paraId="6E20F0D4" w14:textId="77777777" w:rsidR="00604A4F" w:rsidRPr="00253E57" w:rsidRDefault="00604A4F" w:rsidP="00604A4F">
      <w:pPr>
        <w:pStyle w:val="Normal4"/>
        <w:numPr>
          <w:ilvl w:val="0"/>
          <w:numId w:val="3"/>
        </w:numPr>
        <w:spacing w:before="100" w:beforeAutospacing="1"/>
        <w:ind w:left="1440" w:hanging="630"/>
        <w:rPr>
          <w:sz w:val="24"/>
          <w:szCs w:val="24"/>
        </w:rPr>
      </w:pPr>
      <w:r w:rsidRPr="00253E57">
        <w:rPr>
          <w:b/>
          <w:sz w:val="24"/>
          <w:szCs w:val="24"/>
        </w:rPr>
        <w:t>Solution</w:t>
      </w:r>
      <w:r w:rsidRPr="00253E57">
        <w:rPr>
          <w:sz w:val="24"/>
          <w:szCs w:val="24"/>
        </w:rPr>
        <w:t xml:space="preserve"> – </w:t>
      </w:r>
      <w:r w:rsidR="00232153" w:rsidRPr="00253E57">
        <w:rPr>
          <w:sz w:val="24"/>
          <w:szCs w:val="24"/>
        </w:rPr>
        <w:t xml:space="preserve">Barcode/IEN Illegible, </w:t>
      </w:r>
      <w:r w:rsidRPr="00253E57">
        <w:rPr>
          <w:sz w:val="24"/>
          <w:szCs w:val="24"/>
        </w:rPr>
        <w:t>Package Integrity Damaged, Wrong Dose/Drug Delivered and have been added to the Missing Dose Request Reasons Drop Down.</w:t>
      </w:r>
      <w:r w:rsidR="00EC5260" w:rsidRPr="00253E57">
        <w:rPr>
          <w:sz w:val="24"/>
          <w:szCs w:val="24"/>
        </w:rPr>
        <w:t xml:space="preserve"> See below example.</w:t>
      </w:r>
    </w:p>
    <w:p w14:paraId="00C3DC7F" w14:textId="77777777" w:rsidR="001130FB" w:rsidRPr="00253E57" w:rsidRDefault="001130FB" w:rsidP="00232153">
      <w:pPr>
        <w:pStyle w:val="Normal4"/>
        <w:spacing w:before="100" w:beforeAutospacing="1"/>
        <w:ind w:left="720"/>
        <w:jc w:val="center"/>
        <w:rPr>
          <w:rFonts w:ascii="Arial" w:hAnsi="Arial" w:cs="Arial"/>
          <w:b/>
          <w:sz w:val="24"/>
          <w:szCs w:val="24"/>
        </w:rPr>
      </w:pPr>
      <w:r w:rsidRPr="00253E57">
        <w:rPr>
          <w:rFonts w:ascii="Arial" w:hAnsi="Arial" w:cs="Arial"/>
          <w:b/>
          <w:sz w:val="24"/>
          <w:szCs w:val="24"/>
        </w:rPr>
        <w:t>Example: Missing Dose Request Dialog Box</w:t>
      </w:r>
    </w:p>
    <w:p w14:paraId="74EEA1C4" w14:textId="77777777" w:rsidR="001130FB" w:rsidRPr="00253E57" w:rsidRDefault="00AC45AB" w:rsidP="00232153">
      <w:pPr>
        <w:pStyle w:val="Normal4"/>
        <w:spacing w:before="100" w:beforeAutospacing="1"/>
        <w:ind w:left="720"/>
        <w:jc w:val="center"/>
        <w:rPr>
          <w:sz w:val="24"/>
          <w:szCs w:val="24"/>
        </w:rPr>
      </w:pPr>
      <w:r>
        <w:rPr>
          <w:sz w:val="24"/>
          <w:szCs w:val="24"/>
        </w:rPr>
        <w:pict w14:anchorId="022EDC43">
          <v:shape id="_x0000_i1028" type="#_x0000_t75" style="width:298.5pt;height:247.5pt">
            <v:imagedata r:id="rId17" o:title="Missing Dose Request"/>
          </v:shape>
        </w:pict>
      </w:r>
    </w:p>
    <w:p w14:paraId="01C0CDCD" w14:textId="77777777" w:rsidR="00604A4F" w:rsidRPr="00253E57" w:rsidRDefault="00604A4F" w:rsidP="00604A4F">
      <w:pPr>
        <w:pStyle w:val="Heading31"/>
        <w:keepNext/>
        <w:spacing w:before="100" w:beforeAutospacing="1" w:after="120"/>
        <w:rPr>
          <w:szCs w:val="24"/>
        </w:rPr>
      </w:pPr>
      <w:r w:rsidRPr="00253E57">
        <w:rPr>
          <w:szCs w:val="24"/>
        </w:rPr>
        <w:t>HD380330 – Remove Scratch HFS Directory from BCMA Parameters GUI</w:t>
      </w:r>
    </w:p>
    <w:p w14:paraId="5CA3D836" w14:textId="77777777" w:rsidR="004C0AAC" w:rsidRPr="00253E57" w:rsidRDefault="00604A4F" w:rsidP="00604A4F">
      <w:pPr>
        <w:pStyle w:val="Normal4"/>
        <w:numPr>
          <w:ilvl w:val="0"/>
          <w:numId w:val="3"/>
        </w:numPr>
        <w:spacing w:before="100" w:beforeAutospacing="1"/>
        <w:ind w:left="1440" w:hanging="630"/>
        <w:rPr>
          <w:sz w:val="24"/>
          <w:szCs w:val="24"/>
        </w:rPr>
      </w:pPr>
      <w:r w:rsidRPr="00253E57">
        <w:rPr>
          <w:b/>
          <w:sz w:val="24"/>
          <w:szCs w:val="24"/>
        </w:rPr>
        <w:t>Problem</w:t>
      </w:r>
      <w:r w:rsidRPr="00253E57">
        <w:rPr>
          <w:sz w:val="24"/>
          <w:szCs w:val="24"/>
        </w:rPr>
        <w:t xml:space="preserve"> – The Scratch HFS Directory still displays on the BCMA </w:t>
      </w:r>
      <w:r w:rsidR="00F3291D" w:rsidRPr="00253E57">
        <w:rPr>
          <w:sz w:val="24"/>
          <w:szCs w:val="24"/>
        </w:rPr>
        <w:t xml:space="preserve">Site </w:t>
      </w:r>
      <w:r w:rsidRPr="00253E57">
        <w:rPr>
          <w:sz w:val="24"/>
          <w:szCs w:val="24"/>
        </w:rPr>
        <w:t xml:space="preserve">Parameters </w:t>
      </w:r>
      <w:r w:rsidR="00F3291D" w:rsidRPr="00253E57">
        <w:rPr>
          <w:sz w:val="24"/>
          <w:szCs w:val="24"/>
        </w:rPr>
        <w:t>Tab</w:t>
      </w:r>
      <w:r w:rsidRPr="00253E57">
        <w:rPr>
          <w:sz w:val="24"/>
          <w:szCs w:val="24"/>
        </w:rPr>
        <w:t>, even though patch PSB*3*46 has made this field obsolete.</w:t>
      </w:r>
    </w:p>
    <w:p w14:paraId="14AA65F1" w14:textId="77777777" w:rsidR="00604A4F" w:rsidRPr="00253E57" w:rsidRDefault="00604A4F" w:rsidP="004C0AAC">
      <w:pPr>
        <w:pStyle w:val="Normal4"/>
        <w:numPr>
          <w:ilvl w:val="0"/>
          <w:numId w:val="3"/>
        </w:numPr>
        <w:spacing w:before="100" w:beforeAutospacing="1"/>
        <w:ind w:left="1440" w:hanging="630"/>
        <w:rPr>
          <w:sz w:val="24"/>
          <w:szCs w:val="24"/>
        </w:rPr>
      </w:pPr>
      <w:r w:rsidRPr="00253E57">
        <w:rPr>
          <w:b/>
          <w:sz w:val="24"/>
          <w:szCs w:val="24"/>
        </w:rPr>
        <w:t xml:space="preserve">Solution – </w:t>
      </w:r>
      <w:r w:rsidRPr="00253E57">
        <w:rPr>
          <w:sz w:val="24"/>
          <w:szCs w:val="24"/>
        </w:rPr>
        <w:t>The Scratch H</w:t>
      </w:r>
      <w:r w:rsidR="00FA758F" w:rsidRPr="00253E57">
        <w:rPr>
          <w:sz w:val="24"/>
          <w:szCs w:val="24"/>
        </w:rPr>
        <w:t>F</w:t>
      </w:r>
      <w:r w:rsidRPr="00253E57">
        <w:rPr>
          <w:sz w:val="24"/>
          <w:szCs w:val="24"/>
        </w:rPr>
        <w:t xml:space="preserve">S Directory will be removed from the BCMA </w:t>
      </w:r>
      <w:r w:rsidR="00C238C7" w:rsidRPr="00253E57">
        <w:rPr>
          <w:sz w:val="24"/>
          <w:szCs w:val="24"/>
        </w:rPr>
        <w:t xml:space="preserve">Site </w:t>
      </w:r>
      <w:r w:rsidRPr="00253E57">
        <w:rPr>
          <w:sz w:val="24"/>
          <w:szCs w:val="24"/>
        </w:rPr>
        <w:t xml:space="preserve">Parameters </w:t>
      </w:r>
      <w:r w:rsidR="00F3291D" w:rsidRPr="00253E57">
        <w:rPr>
          <w:sz w:val="24"/>
          <w:szCs w:val="24"/>
        </w:rPr>
        <w:t>Tab</w:t>
      </w:r>
      <w:r w:rsidRPr="00253E57">
        <w:rPr>
          <w:sz w:val="24"/>
          <w:szCs w:val="24"/>
        </w:rPr>
        <w:t>.</w:t>
      </w:r>
      <w:r w:rsidR="004C0AAC" w:rsidRPr="00253E57">
        <w:rPr>
          <w:sz w:val="24"/>
          <w:szCs w:val="24"/>
        </w:rPr>
        <w:t xml:space="preserve"> See below example.</w:t>
      </w:r>
    </w:p>
    <w:p w14:paraId="68157C41" w14:textId="77777777" w:rsidR="009C7DE1" w:rsidRPr="00253E57" w:rsidRDefault="00232153" w:rsidP="00232153">
      <w:pPr>
        <w:pStyle w:val="Normal4"/>
        <w:spacing w:before="100" w:beforeAutospacing="1"/>
        <w:ind w:left="0"/>
        <w:jc w:val="center"/>
        <w:rPr>
          <w:rFonts w:ascii="Arial" w:hAnsi="Arial" w:cs="Arial"/>
          <w:b/>
          <w:sz w:val="24"/>
          <w:szCs w:val="24"/>
        </w:rPr>
      </w:pPr>
      <w:r w:rsidRPr="00253E57">
        <w:rPr>
          <w:b/>
          <w:sz w:val="24"/>
          <w:szCs w:val="24"/>
        </w:rPr>
        <w:br w:type="page"/>
      </w:r>
      <w:r w:rsidR="009C7DE1" w:rsidRPr="00253E57">
        <w:rPr>
          <w:rFonts w:ascii="Arial" w:hAnsi="Arial" w:cs="Arial"/>
          <w:b/>
          <w:sz w:val="24"/>
          <w:szCs w:val="24"/>
        </w:rPr>
        <w:lastRenderedPageBreak/>
        <w:t xml:space="preserve">Example: </w:t>
      </w:r>
      <w:r w:rsidR="003C46C8" w:rsidRPr="00253E57">
        <w:rPr>
          <w:rFonts w:ascii="Arial" w:hAnsi="Arial" w:cs="Arial"/>
          <w:b/>
          <w:sz w:val="24"/>
          <w:szCs w:val="24"/>
        </w:rPr>
        <w:t>Update</w:t>
      </w:r>
      <w:r w:rsidR="00F3291D" w:rsidRPr="00253E57">
        <w:rPr>
          <w:rFonts w:ascii="Arial" w:hAnsi="Arial" w:cs="Arial"/>
          <w:b/>
          <w:sz w:val="24"/>
          <w:szCs w:val="24"/>
        </w:rPr>
        <w:t>d</w:t>
      </w:r>
      <w:r w:rsidR="003C46C8" w:rsidRPr="00253E57">
        <w:rPr>
          <w:rFonts w:ascii="Arial" w:hAnsi="Arial" w:cs="Arial"/>
          <w:b/>
          <w:sz w:val="24"/>
          <w:szCs w:val="24"/>
        </w:rPr>
        <w:t xml:space="preserve"> </w:t>
      </w:r>
      <w:r w:rsidR="009C7DE1" w:rsidRPr="00253E57">
        <w:rPr>
          <w:rFonts w:ascii="Arial" w:hAnsi="Arial" w:cs="Arial"/>
          <w:b/>
          <w:sz w:val="24"/>
          <w:szCs w:val="24"/>
        </w:rPr>
        <w:t>Site Parameters Tab</w:t>
      </w:r>
    </w:p>
    <w:p w14:paraId="1B4CC22D" w14:textId="77777777" w:rsidR="009C7DE1" w:rsidRPr="00253E57" w:rsidRDefault="00AC45AB" w:rsidP="00232153">
      <w:pPr>
        <w:pStyle w:val="Normal4"/>
        <w:spacing w:before="100" w:beforeAutospacing="1"/>
        <w:ind w:left="0"/>
        <w:jc w:val="center"/>
        <w:rPr>
          <w:sz w:val="24"/>
          <w:szCs w:val="24"/>
        </w:rPr>
      </w:pPr>
      <w:r>
        <w:pict w14:anchorId="5AC497AE">
          <v:shape id="_x0000_i1029" type="#_x0000_t75" style="width:234pt;height:306pt">
            <v:imagedata r:id="rId18" o:title=""/>
          </v:shape>
        </w:pict>
      </w:r>
    </w:p>
    <w:p w14:paraId="6AC1F5C9" w14:textId="77777777" w:rsidR="00604A4F" w:rsidRPr="00253E57" w:rsidRDefault="00604A4F" w:rsidP="00604A4F">
      <w:pPr>
        <w:pStyle w:val="Heading31"/>
        <w:keepNext/>
        <w:spacing w:before="100" w:beforeAutospacing="1" w:after="120"/>
        <w:rPr>
          <w:szCs w:val="24"/>
        </w:rPr>
      </w:pPr>
      <w:r w:rsidRPr="00253E57">
        <w:rPr>
          <w:szCs w:val="24"/>
        </w:rPr>
        <w:t>HD235723 – Units Given Do Not Show Up on Log</w:t>
      </w:r>
    </w:p>
    <w:p w14:paraId="2DFF1E20" w14:textId="77777777" w:rsidR="00604A4F" w:rsidRPr="00253E57" w:rsidRDefault="00604A4F" w:rsidP="00604A4F">
      <w:pPr>
        <w:pStyle w:val="Normal4"/>
        <w:numPr>
          <w:ilvl w:val="0"/>
          <w:numId w:val="3"/>
        </w:numPr>
        <w:spacing w:before="100" w:beforeAutospacing="1"/>
        <w:ind w:left="1440" w:hanging="630"/>
        <w:rPr>
          <w:sz w:val="24"/>
          <w:szCs w:val="24"/>
        </w:rPr>
      </w:pPr>
      <w:r w:rsidRPr="00253E57">
        <w:rPr>
          <w:b/>
          <w:sz w:val="24"/>
          <w:szCs w:val="24"/>
        </w:rPr>
        <w:t>Problem</w:t>
      </w:r>
      <w:r w:rsidRPr="00253E57">
        <w:rPr>
          <w:sz w:val="24"/>
          <w:szCs w:val="24"/>
        </w:rPr>
        <w:t xml:space="preserve"> - If a missing dose is requested for an IVPB, the order is marked as held, and the order is then given, the Units ordered do not </w:t>
      </w:r>
      <w:r w:rsidR="003D7287" w:rsidRPr="00253E57">
        <w:rPr>
          <w:sz w:val="24"/>
          <w:szCs w:val="24"/>
        </w:rPr>
        <w:t>display on the Medication Log Report</w:t>
      </w:r>
      <w:r w:rsidRPr="00253E57">
        <w:rPr>
          <w:sz w:val="24"/>
          <w:szCs w:val="24"/>
        </w:rPr>
        <w:t>.</w:t>
      </w:r>
    </w:p>
    <w:p w14:paraId="2F338000" w14:textId="77777777" w:rsidR="00604A4F" w:rsidRPr="00253E57" w:rsidRDefault="00604A4F" w:rsidP="00604A4F">
      <w:pPr>
        <w:pStyle w:val="Normal4"/>
        <w:numPr>
          <w:ilvl w:val="0"/>
          <w:numId w:val="3"/>
        </w:numPr>
        <w:spacing w:before="100" w:beforeAutospacing="1"/>
        <w:ind w:left="1440" w:hanging="630"/>
        <w:rPr>
          <w:sz w:val="24"/>
          <w:szCs w:val="24"/>
        </w:rPr>
      </w:pPr>
      <w:r w:rsidRPr="00253E57">
        <w:rPr>
          <w:b/>
          <w:sz w:val="24"/>
          <w:szCs w:val="24"/>
        </w:rPr>
        <w:t>Solution</w:t>
      </w:r>
      <w:r w:rsidRPr="00253E57">
        <w:rPr>
          <w:sz w:val="24"/>
          <w:szCs w:val="24"/>
        </w:rPr>
        <w:t xml:space="preserve"> - Display the “Units Ordered” for all given orders.</w:t>
      </w:r>
      <w:r w:rsidR="00EC5260" w:rsidRPr="00253E57">
        <w:rPr>
          <w:sz w:val="24"/>
          <w:szCs w:val="24"/>
        </w:rPr>
        <w:t xml:space="preserve"> See below example.</w:t>
      </w:r>
    </w:p>
    <w:p w14:paraId="65C259B0" w14:textId="77777777" w:rsidR="00EC5260" w:rsidRPr="00253E57" w:rsidRDefault="00AC45AB" w:rsidP="00EC5260">
      <w:pPr>
        <w:pStyle w:val="Normal4"/>
        <w:spacing w:before="100" w:beforeAutospacing="1"/>
        <w:ind w:left="1440"/>
        <w:jc w:val="center"/>
        <w:rPr>
          <w:rFonts w:ascii="Arial" w:hAnsi="Arial" w:cs="Arial"/>
          <w:b/>
          <w:sz w:val="24"/>
          <w:szCs w:val="24"/>
        </w:rPr>
      </w:pPr>
      <w:r>
        <w:rPr>
          <w:noProof/>
        </w:rPr>
        <w:pict w14:anchorId="42FBE7E6">
          <v:shape id="_x0000_s1076" type="#_x0000_t75" style="position:absolute;left:0;text-align:left;margin-left:-27.75pt;margin-top:29.85pt;width:508.5pt;height:106.5pt;z-index:-251656704" wrapcoords="-32 -152 -32 21600 21632 21600 21632 -152 -32 -152" stroked="t" strokeweight=".25pt">
            <v:imagedata r:id="rId19" o:title="Medlog"/>
            <w10:wrap type="tight"/>
          </v:shape>
        </w:pict>
      </w:r>
      <w:r w:rsidR="00EC5260" w:rsidRPr="00253E57">
        <w:rPr>
          <w:rFonts w:ascii="Arial" w:hAnsi="Arial" w:cs="Arial"/>
          <w:b/>
          <w:sz w:val="24"/>
          <w:szCs w:val="24"/>
        </w:rPr>
        <w:t>Example: Med</w:t>
      </w:r>
      <w:r w:rsidR="003D7287" w:rsidRPr="00253E57">
        <w:rPr>
          <w:rFonts w:ascii="Arial" w:hAnsi="Arial" w:cs="Arial"/>
          <w:b/>
          <w:sz w:val="24"/>
          <w:szCs w:val="24"/>
        </w:rPr>
        <w:t>ication</w:t>
      </w:r>
      <w:r w:rsidR="00EC5260" w:rsidRPr="00253E57">
        <w:rPr>
          <w:rFonts w:ascii="Arial" w:hAnsi="Arial" w:cs="Arial"/>
          <w:b/>
          <w:sz w:val="24"/>
          <w:szCs w:val="24"/>
        </w:rPr>
        <w:t xml:space="preserve"> Log</w:t>
      </w:r>
      <w:r w:rsidR="003D7287" w:rsidRPr="00253E57">
        <w:rPr>
          <w:rFonts w:ascii="Arial" w:hAnsi="Arial" w:cs="Arial"/>
          <w:b/>
          <w:sz w:val="24"/>
          <w:szCs w:val="24"/>
        </w:rPr>
        <w:t xml:space="preserve"> Report</w:t>
      </w:r>
    </w:p>
    <w:p w14:paraId="6BF79F09" w14:textId="77777777" w:rsidR="00EC5260" w:rsidRPr="00253E57" w:rsidRDefault="00EC5260" w:rsidP="00EC5260">
      <w:pPr>
        <w:pStyle w:val="Normal4"/>
        <w:spacing w:before="100" w:beforeAutospacing="1"/>
        <w:ind w:left="0"/>
        <w:rPr>
          <w:sz w:val="24"/>
          <w:szCs w:val="24"/>
        </w:rPr>
      </w:pPr>
    </w:p>
    <w:p w14:paraId="159CFDE7" w14:textId="77777777" w:rsidR="000D349F" w:rsidRPr="00253E57" w:rsidRDefault="00604A4F" w:rsidP="002F6016">
      <w:pPr>
        <w:pStyle w:val="Heading1"/>
        <w:ind w:left="0"/>
        <w:rPr>
          <w:rFonts w:eastAsia="Arial Unicode MS"/>
        </w:rPr>
      </w:pPr>
      <w:r w:rsidRPr="00253E57">
        <w:br w:type="page"/>
      </w:r>
      <w:bookmarkStart w:id="40" w:name="_Toc267466221"/>
      <w:r w:rsidR="00A554BE" w:rsidRPr="00253E57">
        <w:lastRenderedPageBreak/>
        <w:t xml:space="preserve">BCMA </w:t>
      </w:r>
      <w:r w:rsidR="001E2963" w:rsidRPr="00253E57">
        <w:t>Online Help</w:t>
      </w:r>
      <w:r w:rsidR="00A554BE" w:rsidRPr="00253E57">
        <w:t xml:space="preserve"> Update</w:t>
      </w:r>
      <w:bookmarkEnd w:id="40"/>
      <w:r w:rsidR="001E2963" w:rsidRPr="00253E57">
        <w:t xml:space="preserve"> </w:t>
      </w:r>
    </w:p>
    <w:p w14:paraId="42C55478" w14:textId="77777777" w:rsidR="00D24513" w:rsidRPr="00253E57" w:rsidRDefault="00D24513" w:rsidP="00E03976">
      <w:r w:rsidRPr="00253E57">
        <w:t>The BCMA GUI Online Help</w:t>
      </w:r>
      <w:r w:rsidR="00A554BE" w:rsidRPr="00253E57">
        <w:t xml:space="preserve"> system </w:t>
      </w:r>
      <w:r w:rsidRPr="00253E57">
        <w:t xml:space="preserve">has been updated to </w:t>
      </w:r>
      <w:r w:rsidR="00604A4F" w:rsidRPr="00253E57">
        <w:t>include all released BCMA patch functionality, improved consistency with user manuals, and overall enhanced usability of the help system.</w:t>
      </w:r>
      <w:r w:rsidRPr="00253E57">
        <w:t xml:space="preserve"> </w:t>
      </w:r>
    </w:p>
    <w:p w14:paraId="2746595C" w14:textId="77777777" w:rsidR="00D24513" w:rsidRPr="00253E57" w:rsidRDefault="00D24513" w:rsidP="00E03976"/>
    <w:p w14:paraId="50DEE920" w14:textId="77777777" w:rsidR="00604A4F" w:rsidRPr="00253E57" w:rsidRDefault="00D24513" w:rsidP="0027560B">
      <w:pPr>
        <w:jc w:val="center"/>
      </w:pPr>
      <w:r w:rsidRPr="00253E57" w:rsidDel="00D24513">
        <w:t xml:space="preserve"> </w:t>
      </w:r>
    </w:p>
    <w:p w14:paraId="12A24E23" w14:textId="77777777" w:rsidR="00565301" w:rsidRPr="00795FD8" w:rsidRDefault="00604A4F" w:rsidP="0027560B">
      <w:pPr>
        <w:jc w:val="center"/>
        <w:rPr>
          <w:i/>
        </w:rPr>
      </w:pPr>
      <w:r w:rsidRPr="00253E57">
        <w:br w:type="page"/>
      </w:r>
      <w:r w:rsidR="00565301" w:rsidRPr="00253E57">
        <w:rPr>
          <w:i/>
        </w:rPr>
        <w:lastRenderedPageBreak/>
        <w:t>(This page included for two-sided copying.)</w:t>
      </w:r>
    </w:p>
    <w:p w14:paraId="779C6290" w14:textId="77777777" w:rsidR="0081287C" w:rsidRPr="0081287C" w:rsidRDefault="0081287C" w:rsidP="00604A4F">
      <w:pPr>
        <w:pStyle w:val="Heading1"/>
        <w:numPr>
          <w:ilvl w:val="0"/>
          <w:numId w:val="0"/>
        </w:numPr>
        <w:rPr>
          <w:sz w:val="22"/>
          <w:szCs w:val="22"/>
        </w:rPr>
      </w:pPr>
    </w:p>
    <w:sectPr w:rsidR="0081287C" w:rsidRPr="0081287C" w:rsidSect="003D7287">
      <w:footerReference w:type="even" r:id="rId20"/>
      <w:type w:val="oddPage"/>
      <w:pgSz w:w="12240" w:h="15840" w:code="1"/>
      <w:pgMar w:top="1440" w:right="1440" w:bottom="1440" w:left="1440"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B0E8F" w14:textId="77777777" w:rsidR="003159D6" w:rsidRDefault="003159D6">
      <w:r>
        <w:separator/>
      </w:r>
    </w:p>
  </w:endnote>
  <w:endnote w:type="continuationSeparator" w:id="0">
    <w:p w14:paraId="5DBC1D35" w14:textId="77777777" w:rsidR="003159D6" w:rsidRDefault="0031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3C502" w14:textId="77777777" w:rsidR="00651763" w:rsidRDefault="00651763">
    <w:pPr>
      <w:pStyle w:val="Footer"/>
      <w:tabs>
        <w:tab w:val="clear" w:pos="9270"/>
        <w:tab w:val="left" w:pos="9090"/>
      </w:tabs>
      <w:rPr>
        <w:rStyle w:val="PageNumber"/>
      </w:rPr>
    </w:pPr>
    <w:r>
      <w:t>September 2001</w:t>
    </w:r>
    <w:r>
      <w:tab/>
      <w:t>Pharmacy Ordering Enhancements (POE) Phase 2</w:t>
    </w:r>
    <w:r>
      <w:tab/>
    </w:r>
    <w:r>
      <w:rPr>
        <w:rStyle w:val="PageNumber"/>
      </w:rPr>
      <w:fldChar w:fldCharType="begin"/>
    </w:r>
    <w:r>
      <w:rPr>
        <w:rStyle w:val="PageNumber"/>
      </w:rPr>
      <w:instrText xml:space="preserve"> PAGE </w:instrText>
    </w:r>
    <w:r>
      <w:rPr>
        <w:rStyle w:val="PageNumber"/>
      </w:rPr>
      <w:fldChar w:fldCharType="separate"/>
    </w:r>
    <w:r w:rsidR="003866A2">
      <w:rPr>
        <w:rStyle w:val="PageNumber"/>
        <w:noProof/>
      </w:rPr>
      <w:t>iii</w:t>
    </w:r>
    <w:r>
      <w:rPr>
        <w:rStyle w:val="PageNumber"/>
      </w:rPr>
      <w:fldChar w:fldCharType="end"/>
    </w:r>
  </w:p>
  <w:p w14:paraId="7C59A8BA" w14:textId="77777777" w:rsidR="00651763" w:rsidRDefault="00651763">
    <w:pPr>
      <w:pStyle w:val="Footer"/>
      <w:tabs>
        <w:tab w:val="clear" w:pos="9270"/>
        <w:tab w:val="left" w:pos="8640"/>
      </w:tabs>
    </w:pPr>
    <w:r>
      <w:rPr>
        <w:rStyle w:val="PageNumber"/>
      </w:rPr>
      <w:tab/>
      <w:t>Release Notes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4D45F" w14:textId="77777777" w:rsidR="00651763" w:rsidRDefault="00651763">
    <w:pPr>
      <w:pStyle w:val="Footer"/>
      <w:tabs>
        <w:tab w:val="clear" w:pos="9270"/>
        <w:tab w:val="left" w:pos="8010"/>
      </w:tabs>
      <w:rPr>
        <w:rStyle w:val="PageNumber"/>
      </w:rPr>
    </w:pPr>
    <w:r>
      <w:rPr>
        <w:rStyle w:val="PageNumber"/>
      </w:rPr>
      <w:fldChar w:fldCharType="begin"/>
    </w:r>
    <w:r>
      <w:rPr>
        <w:rStyle w:val="PageNumber"/>
      </w:rPr>
      <w:instrText xml:space="preserve"> PAGE </w:instrText>
    </w:r>
    <w:r>
      <w:rPr>
        <w:rStyle w:val="PageNumber"/>
      </w:rPr>
      <w:fldChar w:fldCharType="separate"/>
    </w:r>
    <w:r w:rsidR="00791597">
      <w:rPr>
        <w:rStyle w:val="PageNumber"/>
        <w:noProof/>
      </w:rPr>
      <w:t>ii</w:t>
    </w:r>
    <w:r>
      <w:rPr>
        <w:rStyle w:val="PageNumber"/>
      </w:rPr>
      <w:fldChar w:fldCharType="end"/>
    </w:r>
    <w:r>
      <w:rPr>
        <w:rStyle w:val="PageNumber"/>
      </w:rPr>
      <w:tab/>
      <w:t>Ward Drug Dispensing Equipment Interface Project</w:t>
    </w:r>
    <w:r>
      <w:rPr>
        <w:rStyle w:val="PageNumber"/>
      </w:rPr>
      <w:tab/>
      <w:t>January 2006</w:t>
    </w:r>
  </w:p>
  <w:p w14:paraId="66D41148" w14:textId="77777777" w:rsidR="00651763" w:rsidRDefault="00651763">
    <w:pPr>
      <w:pStyle w:val="Footer"/>
    </w:pPr>
    <w:r>
      <w:rPr>
        <w:rStyle w:val="PageNumber"/>
      </w:rPr>
      <w:tab/>
      <w:t>Release Notes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FA2C4" w14:textId="77777777" w:rsidR="00C7547C" w:rsidRDefault="00253E57">
    <w:pPr>
      <w:pStyle w:val="Footer"/>
      <w:rPr>
        <w:rStyle w:val="PageNumber"/>
      </w:rPr>
    </w:pPr>
    <w:r>
      <w:rPr>
        <w:rStyle w:val="PageNumber"/>
      </w:rPr>
      <w:t>January 2011</w:t>
    </w:r>
    <w:r w:rsidR="00651763">
      <w:rPr>
        <w:rStyle w:val="PageNumber"/>
      </w:rPr>
      <w:tab/>
    </w:r>
    <w:r w:rsidR="00F0106B">
      <w:rPr>
        <w:rStyle w:val="PageNumber"/>
      </w:rPr>
      <w:t>Indian Health Service</w:t>
    </w:r>
    <w:r w:rsidR="00680F2A">
      <w:rPr>
        <w:rStyle w:val="PageNumber"/>
      </w:rPr>
      <w:t xml:space="preserve"> and Section 508 Compliance</w:t>
    </w:r>
    <w:r w:rsidR="006E7050">
      <w:rPr>
        <w:rStyle w:val="PageNumber"/>
      </w:rPr>
      <w:tab/>
      <w:t>i</w:t>
    </w:r>
  </w:p>
  <w:p w14:paraId="6E0426D2" w14:textId="77777777" w:rsidR="00651763" w:rsidRDefault="00C7547C">
    <w:pPr>
      <w:pStyle w:val="Footer"/>
      <w:rPr>
        <w:rStyle w:val="PageNumber"/>
      </w:rPr>
    </w:pPr>
    <w:r>
      <w:rPr>
        <w:rStyle w:val="PageNumber"/>
      </w:rPr>
      <w:tab/>
    </w:r>
    <w:r w:rsidR="00791597">
      <w:rPr>
        <w:rStyle w:val="PageNumber"/>
      </w:rPr>
      <w:t xml:space="preserve">for </w:t>
    </w:r>
    <w:r w:rsidR="00680F2A">
      <w:rPr>
        <w:rStyle w:val="PageNumber"/>
      </w:rPr>
      <w:t>BCMA v3.0</w:t>
    </w:r>
    <w:r w:rsidR="00791597">
      <w:rPr>
        <w:rStyle w:val="PageNumber"/>
      </w:rPr>
      <w:t xml:space="preserve"> - </w:t>
    </w:r>
    <w:r w:rsidR="00651763">
      <w:rPr>
        <w:rStyle w:val="PageNumber"/>
      </w:rPr>
      <w:t>Release Notes</w:t>
    </w:r>
  </w:p>
  <w:p w14:paraId="30523C9A" w14:textId="77777777" w:rsidR="00651763" w:rsidRDefault="00651763" w:rsidP="00EF2C66">
    <w:pPr>
      <w:pStyle w:val="Footer"/>
      <w:jc w:val="center"/>
    </w:pPr>
    <w:r>
      <w:rPr>
        <w:rStyle w:val="PageNumber"/>
      </w:rPr>
      <w:t>P</w:t>
    </w:r>
    <w:r w:rsidR="00680F2A">
      <w:rPr>
        <w:rStyle w:val="PageNumber"/>
      </w:rPr>
      <w:t>SB*3*42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F321C" w14:textId="77777777" w:rsidR="006E7050" w:rsidRDefault="00651763" w:rsidP="00680F2A">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670C0C">
      <w:rPr>
        <w:rStyle w:val="PageNumber"/>
        <w:noProof/>
      </w:rPr>
      <w:t>ii</w:t>
    </w:r>
    <w:r>
      <w:rPr>
        <w:rStyle w:val="PageNumber"/>
      </w:rPr>
      <w:fldChar w:fldCharType="end"/>
    </w:r>
    <w:r>
      <w:tab/>
    </w:r>
    <w:r w:rsidR="00680F2A">
      <w:rPr>
        <w:rStyle w:val="PageNumber"/>
      </w:rPr>
      <w:t>Indian Health Service and Section 508 Compliance</w:t>
    </w:r>
    <w:r w:rsidR="006E7050">
      <w:rPr>
        <w:rStyle w:val="PageNumber"/>
      </w:rPr>
      <w:tab/>
    </w:r>
    <w:r w:rsidR="00253E57">
      <w:rPr>
        <w:rStyle w:val="PageNumber"/>
      </w:rPr>
      <w:t>January 2011</w:t>
    </w:r>
  </w:p>
  <w:p w14:paraId="4BA21B30" w14:textId="77777777" w:rsidR="00651763" w:rsidRDefault="006E7050">
    <w:pPr>
      <w:pStyle w:val="Footer"/>
      <w:rPr>
        <w:rStyle w:val="PageNumber"/>
      </w:rPr>
    </w:pPr>
    <w:r>
      <w:rPr>
        <w:rStyle w:val="PageNumber"/>
      </w:rPr>
      <w:tab/>
    </w:r>
    <w:r w:rsidR="00791597">
      <w:rPr>
        <w:rStyle w:val="PageNumber"/>
      </w:rPr>
      <w:t xml:space="preserve">for </w:t>
    </w:r>
    <w:r w:rsidR="00680F2A">
      <w:rPr>
        <w:rStyle w:val="PageNumber"/>
      </w:rPr>
      <w:t>BCMA v3.0</w:t>
    </w:r>
    <w:r>
      <w:rPr>
        <w:rStyle w:val="PageNumber"/>
      </w:rPr>
      <w:t xml:space="preserve"> </w:t>
    </w:r>
    <w:r w:rsidR="00791597">
      <w:rPr>
        <w:rStyle w:val="PageNumber"/>
      </w:rPr>
      <w:t xml:space="preserve">- </w:t>
    </w:r>
    <w:r w:rsidR="00651763">
      <w:rPr>
        <w:rStyle w:val="PageNumber"/>
      </w:rPr>
      <w:t>Release Notes</w:t>
    </w:r>
    <w:r w:rsidR="00651763">
      <w:rPr>
        <w:rStyle w:val="PageNumber"/>
      </w:rPr>
      <w:tab/>
    </w:r>
  </w:p>
  <w:p w14:paraId="24F9D110" w14:textId="77777777" w:rsidR="00651763" w:rsidRDefault="00C969C4" w:rsidP="00C969C4">
    <w:pPr>
      <w:pStyle w:val="Footer"/>
      <w:jc w:val="center"/>
    </w:pPr>
    <w:r>
      <w:rPr>
        <w:rStyle w:val="PageNumber"/>
      </w:rPr>
      <w:t>PS</w:t>
    </w:r>
    <w:r w:rsidR="00C7547C">
      <w:rPr>
        <w:rStyle w:val="PageNumber"/>
      </w:rPr>
      <w:t>B*3*42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B7912" w14:textId="77777777" w:rsidR="00651763" w:rsidRDefault="00651763">
    <w:pPr>
      <w:pStyle w:val="Footer"/>
      <w:tabs>
        <w:tab w:val="clear" w:pos="9270"/>
        <w:tab w:val="left" w:pos="9090"/>
      </w:tabs>
      <w:rPr>
        <w:rStyle w:val="PageNumber"/>
      </w:rPr>
    </w:pPr>
    <w:r>
      <w:t>January 2006</w:t>
    </w:r>
    <w:r>
      <w:tab/>
    </w:r>
    <w:r>
      <w:rPr>
        <w:rStyle w:val="PageNumber"/>
      </w:rPr>
      <w:t>Ward Drug Dispensing Equipment Interface Project</w:t>
    </w:r>
    <w:r>
      <w:tab/>
    </w:r>
    <w:r>
      <w:rPr>
        <w:rStyle w:val="PageNumber"/>
      </w:rPr>
      <w:fldChar w:fldCharType="begin"/>
    </w:r>
    <w:r>
      <w:rPr>
        <w:rStyle w:val="PageNumber"/>
      </w:rPr>
      <w:instrText xml:space="preserve"> PAGE </w:instrText>
    </w:r>
    <w:r>
      <w:rPr>
        <w:rStyle w:val="PageNumber"/>
      </w:rPr>
      <w:fldChar w:fldCharType="separate"/>
    </w:r>
    <w:r w:rsidR="00791597">
      <w:rPr>
        <w:rStyle w:val="PageNumber"/>
        <w:noProof/>
      </w:rPr>
      <w:t>iii</w:t>
    </w:r>
    <w:r>
      <w:rPr>
        <w:rStyle w:val="PageNumber"/>
      </w:rPr>
      <w:fldChar w:fldCharType="end"/>
    </w:r>
  </w:p>
  <w:p w14:paraId="68706E0B" w14:textId="77777777" w:rsidR="00651763" w:rsidRDefault="00651763">
    <w:pPr>
      <w:pStyle w:val="Footer"/>
      <w:tabs>
        <w:tab w:val="clear" w:pos="9270"/>
        <w:tab w:val="left" w:pos="8640"/>
      </w:tabs>
    </w:pPr>
    <w:r>
      <w:rPr>
        <w:rStyle w:val="PageNumber"/>
      </w:rPr>
      <w:tab/>
      <w:t>Release Notes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073F" w14:textId="77777777" w:rsidR="00651763" w:rsidRDefault="00787BB0" w:rsidP="00680F2A">
    <w:pPr>
      <w:pStyle w:val="Footer"/>
      <w:rPr>
        <w:rStyle w:val="PageNumber"/>
      </w:rPr>
    </w:pPr>
    <w:r>
      <w:fldChar w:fldCharType="begin"/>
    </w:r>
    <w:r>
      <w:instrText xml:space="preserve"> PAGE   \* MERGEFORMAT </w:instrText>
    </w:r>
    <w:r>
      <w:fldChar w:fldCharType="separate"/>
    </w:r>
    <w:r w:rsidR="00670C0C">
      <w:rPr>
        <w:noProof/>
      </w:rPr>
      <w:t>2</w:t>
    </w:r>
    <w:r>
      <w:fldChar w:fldCharType="end"/>
    </w:r>
    <w:r w:rsidR="00651763">
      <w:tab/>
    </w:r>
    <w:r w:rsidR="00680F2A">
      <w:rPr>
        <w:rStyle w:val="PageNumber"/>
      </w:rPr>
      <w:t>Indian Health Service and Section 508 Compliance</w:t>
    </w:r>
    <w:r w:rsidR="006E7050">
      <w:rPr>
        <w:rStyle w:val="PageNumber"/>
      </w:rPr>
      <w:tab/>
    </w:r>
    <w:r w:rsidR="00253E57">
      <w:rPr>
        <w:rStyle w:val="PageNumber"/>
      </w:rPr>
      <w:t>January 2011</w:t>
    </w:r>
  </w:p>
  <w:p w14:paraId="217DB62F" w14:textId="77777777" w:rsidR="00651763" w:rsidRDefault="00651763">
    <w:pPr>
      <w:pStyle w:val="Footer"/>
      <w:rPr>
        <w:rStyle w:val="PageNumber"/>
      </w:rPr>
    </w:pPr>
    <w:r>
      <w:rPr>
        <w:rStyle w:val="PageNumber"/>
      </w:rPr>
      <w:tab/>
    </w:r>
    <w:r w:rsidR="00791597">
      <w:rPr>
        <w:rStyle w:val="PageNumber"/>
      </w:rPr>
      <w:t xml:space="preserve">for BCMA v3.0 - </w:t>
    </w:r>
    <w:r>
      <w:rPr>
        <w:rStyle w:val="PageNumber"/>
      </w:rPr>
      <w:t>Release Notes</w:t>
    </w:r>
  </w:p>
  <w:p w14:paraId="6EC2E8B0" w14:textId="77777777" w:rsidR="00651763" w:rsidRDefault="00651763" w:rsidP="00680F2A">
    <w:pPr>
      <w:pStyle w:val="Footer"/>
      <w:tabs>
        <w:tab w:val="clear" w:pos="9270"/>
        <w:tab w:val="left" w:pos="8640"/>
      </w:tabs>
    </w:pPr>
    <w:r>
      <w:rPr>
        <w:rStyle w:val="PageNumber"/>
      </w:rPr>
      <w:tab/>
    </w:r>
    <w:r w:rsidR="00C969C4">
      <w:rPr>
        <w:rStyle w:val="PageNumber"/>
      </w:rPr>
      <w:t>PS</w:t>
    </w:r>
    <w:r w:rsidR="00C7547C">
      <w:rPr>
        <w:rStyle w:val="PageNumber"/>
      </w:rPr>
      <w:t>B*3*42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9D2DE" w14:textId="77777777" w:rsidR="00651763" w:rsidRDefault="00253E57" w:rsidP="00C7547C">
    <w:pPr>
      <w:pStyle w:val="Footer"/>
      <w:rPr>
        <w:rStyle w:val="PageNumber"/>
      </w:rPr>
    </w:pPr>
    <w:r>
      <w:rPr>
        <w:rStyle w:val="PageNumber"/>
      </w:rPr>
      <w:t>January 2011</w:t>
    </w:r>
    <w:r w:rsidR="00651763">
      <w:tab/>
    </w:r>
    <w:r w:rsidR="00680F2A">
      <w:rPr>
        <w:rStyle w:val="PageNumber"/>
      </w:rPr>
      <w:t>Indian Health Service and Section 508 Compliance</w:t>
    </w:r>
    <w:r w:rsidR="006E7050">
      <w:rPr>
        <w:rStyle w:val="PageNumber"/>
      </w:rPr>
      <w:tab/>
      <w:t xml:space="preserve"> </w:t>
    </w:r>
    <w:r w:rsidR="003D7287" w:rsidRPr="003D7287">
      <w:rPr>
        <w:rStyle w:val="PageNumber"/>
      </w:rPr>
      <w:fldChar w:fldCharType="begin"/>
    </w:r>
    <w:r w:rsidR="003D7287" w:rsidRPr="003D7287">
      <w:rPr>
        <w:rStyle w:val="PageNumber"/>
      </w:rPr>
      <w:instrText xml:space="preserve"> PAGE   \* MERGEFORMAT </w:instrText>
    </w:r>
    <w:r w:rsidR="003D7287" w:rsidRPr="003D7287">
      <w:rPr>
        <w:rStyle w:val="PageNumber"/>
      </w:rPr>
      <w:fldChar w:fldCharType="separate"/>
    </w:r>
    <w:r w:rsidR="00670C0C">
      <w:rPr>
        <w:rStyle w:val="PageNumber"/>
        <w:noProof/>
      </w:rPr>
      <w:t>1</w:t>
    </w:r>
    <w:r w:rsidR="003D7287" w:rsidRPr="003D7287">
      <w:rPr>
        <w:rStyle w:val="PageNumber"/>
      </w:rPr>
      <w:fldChar w:fldCharType="end"/>
    </w:r>
  </w:p>
  <w:p w14:paraId="36CB7334" w14:textId="77777777" w:rsidR="00651763" w:rsidRDefault="00651763">
    <w:pPr>
      <w:pStyle w:val="Footer"/>
      <w:tabs>
        <w:tab w:val="clear" w:pos="9270"/>
        <w:tab w:val="left" w:pos="8640"/>
      </w:tabs>
      <w:rPr>
        <w:rStyle w:val="PageNumber"/>
      </w:rPr>
    </w:pPr>
    <w:r>
      <w:rPr>
        <w:rStyle w:val="PageNumber"/>
      </w:rPr>
      <w:tab/>
    </w:r>
    <w:r w:rsidR="00791597">
      <w:rPr>
        <w:rStyle w:val="PageNumber"/>
      </w:rPr>
      <w:t xml:space="preserve">for BCMA v3.0 - </w:t>
    </w:r>
    <w:r>
      <w:rPr>
        <w:rStyle w:val="PageNumber"/>
      </w:rPr>
      <w:t>Release Notes</w:t>
    </w:r>
  </w:p>
  <w:p w14:paraId="360F6297" w14:textId="77777777" w:rsidR="00651763" w:rsidRDefault="00651763" w:rsidP="00C65C34">
    <w:pPr>
      <w:pStyle w:val="Footer"/>
      <w:tabs>
        <w:tab w:val="clear" w:pos="9270"/>
        <w:tab w:val="left" w:pos="8640"/>
      </w:tabs>
    </w:pPr>
    <w:r>
      <w:rPr>
        <w:rStyle w:val="PageNumber"/>
      </w:rPr>
      <w:tab/>
    </w:r>
    <w:r w:rsidR="00C969C4">
      <w:rPr>
        <w:rStyle w:val="PageNumber"/>
      </w:rPr>
      <w:t>PS</w:t>
    </w:r>
    <w:r w:rsidR="00C7547C">
      <w:rPr>
        <w:rStyle w:val="PageNumber"/>
      </w:rPr>
      <w:t>B*3*42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FBB0A" w14:textId="77777777" w:rsidR="00787BB0" w:rsidRDefault="00565301" w:rsidP="00680F2A">
    <w:pPr>
      <w:pStyle w:val="Footer"/>
      <w:rPr>
        <w:rStyle w:val="PageNumber"/>
      </w:rPr>
    </w:pPr>
    <w:r>
      <w:fldChar w:fldCharType="begin"/>
    </w:r>
    <w:r>
      <w:instrText xml:space="preserve"> PAGE   \* MERGEFORMAT </w:instrText>
    </w:r>
    <w:r>
      <w:fldChar w:fldCharType="separate"/>
    </w:r>
    <w:r w:rsidR="00670C0C">
      <w:rPr>
        <w:noProof/>
      </w:rPr>
      <w:t>4</w:t>
    </w:r>
    <w:r>
      <w:fldChar w:fldCharType="end"/>
    </w:r>
    <w:r w:rsidR="00787BB0">
      <w:tab/>
    </w:r>
    <w:r w:rsidR="00787BB0">
      <w:rPr>
        <w:rStyle w:val="PageNumber"/>
      </w:rPr>
      <w:t xml:space="preserve">Indian Health Service and Section 508 Compliance </w:t>
    </w:r>
    <w:r w:rsidR="00787BB0">
      <w:rPr>
        <w:rStyle w:val="PageNumber"/>
      </w:rPr>
      <w:tab/>
    </w:r>
    <w:r w:rsidR="00253E57">
      <w:rPr>
        <w:rStyle w:val="PageNumber"/>
      </w:rPr>
      <w:t>January 2011</w:t>
    </w:r>
  </w:p>
  <w:p w14:paraId="6D673583" w14:textId="77777777" w:rsidR="00787BB0" w:rsidRDefault="00787BB0">
    <w:pPr>
      <w:pStyle w:val="Footer"/>
      <w:rPr>
        <w:rStyle w:val="PageNumber"/>
      </w:rPr>
    </w:pPr>
    <w:r>
      <w:rPr>
        <w:rStyle w:val="PageNumber"/>
      </w:rPr>
      <w:tab/>
    </w:r>
    <w:r w:rsidR="00791597">
      <w:rPr>
        <w:rStyle w:val="PageNumber"/>
      </w:rPr>
      <w:t xml:space="preserve">for BCMA v3.0 - </w:t>
    </w:r>
    <w:r>
      <w:rPr>
        <w:rStyle w:val="PageNumber"/>
      </w:rPr>
      <w:t>Release Notes</w:t>
    </w:r>
  </w:p>
  <w:p w14:paraId="2B7CDC5A" w14:textId="77777777" w:rsidR="00787BB0" w:rsidRDefault="00787BB0" w:rsidP="00680F2A">
    <w:pPr>
      <w:pStyle w:val="Footer"/>
      <w:tabs>
        <w:tab w:val="clear" w:pos="9270"/>
        <w:tab w:val="left" w:pos="8640"/>
      </w:tabs>
    </w:pPr>
    <w:r>
      <w:rPr>
        <w:rStyle w:val="PageNumber"/>
      </w:rPr>
      <w:tab/>
      <w:t>PSB*3*42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C2C6F" w14:textId="77777777" w:rsidR="003159D6" w:rsidRDefault="003159D6">
      <w:r>
        <w:separator/>
      </w:r>
    </w:p>
  </w:footnote>
  <w:footnote w:type="continuationSeparator" w:id="0">
    <w:p w14:paraId="103B6E77" w14:textId="77777777" w:rsidR="003159D6" w:rsidRDefault="00315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6D48E4C4"/>
    <w:lvl w:ilvl="0">
      <w:start w:val="1"/>
      <w:numFmt w:val="decimal"/>
      <w:pStyle w:val="Heading1"/>
      <w:isLgl/>
      <w:lvlText w:val="%1."/>
      <w:lvlJc w:val="left"/>
      <w:pPr>
        <w:tabs>
          <w:tab w:val="num" w:pos="540"/>
        </w:tabs>
        <w:ind w:left="180" w:firstLine="0"/>
      </w:pPr>
      <w:rPr>
        <w:rFonts w:hint="default"/>
      </w:rPr>
    </w:lvl>
    <w:lvl w:ilvl="1">
      <w:start w:val="1"/>
      <w:numFmt w:val="decimal"/>
      <w:pStyle w:val="Heading2"/>
      <w:lvlText w:val="%1.%2."/>
      <w:lvlJc w:val="left"/>
      <w:pPr>
        <w:tabs>
          <w:tab w:val="num" w:pos="972"/>
        </w:tabs>
        <w:ind w:left="972" w:hanging="792"/>
      </w:pPr>
      <w:rPr>
        <w:rFonts w:hint="default"/>
      </w:rPr>
    </w:lvl>
    <w:lvl w:ilvl="2">
      <w:start w:val="1"/>
      <w:numFmt w:val="decimal"/>
      <w:pStyle w:val="Heading3"/>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FFFFFFFE"/>
    <w:multiLevelType w:val="singleLevel"/>
    <w:tmpl w:val="50BE10F8"/>
    <w:lvl w:ilvl="0">
      <w:numFmt w:val="bullet"/>
      <w:lvlText w:val="*"/>
      <w:lvlJc w:val="left"/>
    </w:lvl>
  </w:abstractNum>
  <w:abstractNum w:abstractNumId="2" w15:restartNumberingAfterBreak="0">
    <w:nsid w:val="091F14A9"/>
    <w:multiLevelType w:val="hybridMultilevel"/>
    <w:tmpl w:val="ADCCFA5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0C71FCA"/>
    <w:multiLevelType w:val="hybridMultilevel"/>
    <w:tmpl w:val="CBFC3A92"/>
    <w:lvl w:ilvl="0" w:tplc="2C3C7D0A">
      <w:start w:val="1"/>
      <w:numFmt w:val="bullet"/>
      <w:lvlText w:val=""/>
      <w:lvlJc w:val="left"/>
      <w:pPr>
        <w:ind w:left="720" w:hanging="360"/>
      </w:pPr>
      <w:rPr>
        <w:rFonts w:ascii="Symbol" w:hAnsi="Symbol" w:hint="default"/>
      </w:rPr>
    </w:lvl>
    <w:lvl w:ilvl="1" w:tplc="4F52793E" w:tentative="1">
      <w:start w:val="1"/>
      <w:numFmt w:val="bullet"/>
      <w:lvlText w:val="o"/>
      <w:lvlJc w:val="left"/>
      <w:pPr>
        <w:ind w:left="1440" w:hanging="360"/>
      </w:pPr>
      <w:rPr>
        <w:rFonts w:ascii="Courier New" w:hAnsi="Courier New" w:cs="Courier New" w:hint="default"/>
      </w:rPr>
    </w:lvl>
    <w:lvl w:ilvl="2" w:tplc="C75A3C0E" w:tentative="1">
      <w:start w:val="1"/>
      <w:numFmt w:val="bullet"/>
      <w:lvlText w:val=""/>
      <w:lvlJc w:val="left"/>
      <w:pPr>
        <w:ind w:left="2160" w:hanging="360"/>
      </w:pPr>
      <w:rPr>
        <w:rFonts w:ascii="Wingdings" w:hAnsi="Wingdings" w:hint="default"/>
      </w:rPr>
    </w:lvl>
    <w:lvl w:ilvl="3" w:tplc="3424C992" w:tentative="1">
      <w:start w:val="1"/>
      <w:numFmt w:val="bullet"/>
      <w:lvlText w:val=""/>
      <w:lvlJc w:val="left"/>
      <w:pPr>
        <w:ind w:left="2880" w:hanging="360"/>
      </w:pPr>
      <w:rPr>
        <w:rFonts w:ascii="Symbol" w:hAnsi="Symbol" w:hint="default"/>
      </w:rPr>
    </w:lvl>
    <w:lvl w:ilvl="4" w:tplc="97AC26B8" w:tentative="1">
      <w:start w:val="1"/>
      <w:numFmt w:val="bullet"/>
      <w:lvlText w:val="o"/>
      <w:lvlJc w:val="left"/>
      <w:pPr>
        <w:ind w:left="3600" w:hanging="360"/>
      </w:pPr>
      <w:rPr>
        <w:rFonts w:ascii="Courier New" w:hAnsi="Courier New" w:cs="Courier New" w:hint="default"/>
      </w:rPr>
    </w:lvl>
    <w:lvl w:ilvl="5" w:tplc="C866AED8" w:tentative="1">
      <w:start w:val="1"/>
      <w:numFmt w:val="bullet"/>
      <w:lvlText w:val=""/>
      <w:lvlJc w:val="left"/>
      <w:pPr>
        <w:ind w:left="4320" w:hanging="360"/>
      </w:pPr>
      <w:rPr>
        <w:rFonts w:ascii="Wingdings" w:hAnsi="Wingdings" w:hint="default"/>
      </w:rPr>
    </w:lvl>
    <w:lvl w:ilvl="6" w:tplc="18107336" w:tentative="1">
      <w:start w:val="1"/>
      <w:numFmt w:val="bullet"/>
      <w:lvlText w:val=""/>
      <w:lvlJc w:val="left"/>
      <w:pPr>
        <w:ind w:left="5040" w:hanging="360"/>
      </w:pPr>
      <w:rPr>
        <w:rFonts w:ascii="Symbol" w:hAnsi="Symbol" w:hint="default"/>
      </w:rPr>
    </w:lvl>
    <w:lvl w:ilvl="7" w:tplc="3BF0D73A" w:tentative="1">
      <w:start w:val="1"/>
      <w:numFmt w:val="bullet"/>
      <w:lvlText w:val="o"/>
      <w:lvlJc w:val="left"/>
      <w:pPr>
        <w:ind w:left="5760" w:hanging="360"/>
      </w:pPr>
      <w:rPr>
        <w:rFonts w:ascii="Courier New" w:hAnsi="Courier New" w:cs="Courier New" w:hint="default"/>
      </w:rPr>
    </w:lvl>
    <w:lvl w:ilvl="8" w:tplc="652CAD46" w:tentative="1">
      <w:start w:val="1"/>
      <w:numFmt w:val="bullet"/>
      <w:lvlText w:val=""/>
      <w:lvlJc w:val="left"/>
      <w:pPr>
        <w:ind w:left="6480" w:hanging="360"/>
      </w:pPr>
      <w:rPr>
        <w:rFonts w:ascii="Wingdings" w:hAnsi="Wingdings" w:hint="default"/>
      </w:rPr>
    </w:lvl>
  </w:abstractNum>
  <w:abstractNum w:abstractNumId="4" w15:restartNumberingAfterBreak="0">
    <w:nsid w:val="2D59599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5A1C26F1"/>
    <w:multiLevelType w:val="hybridMultilevel"/>
    <w:tmpl w:val="290E6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4735A7"/>
    <w:multiLevelType w:val="hybridMultilevel"/>
    <w:tmpl w:val="6CD000C4"/>
    <w:lvl w:ilvl="0" w:tplc="5A84D6D8">
      <w:start w:val="1"/>
      <w:numFmt w:val="bullet"/>
      <w:lvlText w:val=""/>
      <w:lvlJc w:val="left"/>
      <w:pPr>
        <w:ind w:left="1080" w:hanging="360"/>
      </w:pPr>
      <w:rPr>
        <w:rFonts w:ascii="Symbol" w:hAnsi="Symbol" w:hint="default"/>
      </w:rPr>
    </w:lvl>
    <w:lvl w:ilvl="1" w:tplc="D3003322">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lvlOverride w:ilvl="0">
      <w:lvl w:ilvl="0">
        <w:numFmt w:val="bullet"/>
        <w:lvlText w:val=""/>
        <w:legacy w:legacy="1" w:legacySpace="0" w:legacyIndent="360"/>
        <w:lvlJc w:val="left"/>
        <w:rPr>
          <w:rFonts w:ascii="Symbol" w:hAnsi="Symbol" w:hint="default"/>
        </w:rPr>
      </w:lvl>
    </w:lvlOverride>
  </w:num>
  <w:num w:numId="6">
    <w:abstractNumId w:val="6"/>
  </w:num>
  <w:num w:numId="7">
    <w:abstractNumId w:val="0"/>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2E69"/>
    <w:rsid w:val="00020A0A"/>
    <w:rsid w:val="00020ADF"/>
    <w:rsid w:val="00022D98"/>
    <w:rsid w:val="0003078B"/>
    <w:rsid w:val="000318C4"/>
    <w:rsid w:val="000344BD"/>
    <w:rsid w:val="0005385E"/>
    <w:rsid w:val="0005681A"/>
    <w:rsid w:val="00060664"/>
    <w:rsid w:val="000613D3"/>
    <w:rsid w:val="00062F9D"/>
    <w:rsid w:val="000644D5"/>
    <w:rsid w:val="00065E71"/>
    <w:rsid w:val="00070907"/>
    <w:rsid w:val="00071822"/>
    <w:rsid w:val="00072F96"/>
    <w:rsid w:val="00093C99"/>
    <w:rsid w:val="00094AAB"/>
    <w:rsid w:val="000969B4"/>
    <w:rsid w:val="000A228E"/>
    <w:rsid w:val="000A3E84"/>
    <w:rsid w:val="000C189B"/>
    <w:rsid w:val="000C3733"/>
    <w:rsid w:val="000C4ED3"/>
    <w:rsid w:val="000D33EF"/>
    <w:rsid w:val="000D349F"/>
    <w:rsid w:val="000E1674"/>
    <w:rsid w:val="000E16FC"/>
    <w:rsid w:val="000F6769"/>
    <w:rsid w:val="00106616"/>
    <w:rsid w:val="00113026"/>
    <w:rsid w:val="001130FB"/>
    <w:rsid w:val="00132107"/>
    <w:rsid w:val="0013248D"/>
    <w:rsid w:val="00140063"/>
    <w:rsid w:val="00143479"/>
    <w:rsid w:val="001435CE"/>
    <w:rsid w:val="00165DD2"/>
    <w:rsid w:val="001770F0"/>
    <w:rsid w:val="001836AA"/>
    <w:rsid w:val="001857B3"/>
    <w:rsid w:val="0018657D"/>
    <w:rsid w:val="001A264D"/>
    <w:rsid w:val="001A4F0F"/>
    <w:rsid w:val="001B43D7"/>
    <w:rsid w:val="001B4A47"/>
    <w:rsid w:val="001C1C1A"/>
    <w:rsid w:val="001C2DDA"/>
    <w:rsid w:val="001C5408"/>
    <w:rsid w:val="001D6F27"/>
    <w:rsid w:val="001D72BF"/>
    <w:rsid w:val="001E2963"/>
    <w:rsid w:val="001E337B"/>
    <w:rsid w:val="001E6BD7"/>
    <w:rsid w:val="001F1BB5"/>
    <w:rsid w:val="001F1FE3"/>
    <w:rsid w:val="00202643"/>
    <w:rsid w:val="00202A98"/>
    <w:rsid w:val="00211142"/>
    <w:rsid w:val="002146FA"/>
    <w:rsid w:val="00217AC9"/>
    <w:rsid w:val="00232153"/>
    <w:rsid w:val="00233712"/>
    <w:rsid w:val="00233715"/>
    <w:rsid w:val="00237EE4"/>
    <w:rsid w:val="00253E57"/>
    <w:rsid w:val="00254DF3"/>
    <w:rsid w:val="00256F36"/>
    <w:rsid w:val="00265722"/>
    <w:rsid w:val="0026746B"/>
    <w:rsid w:val="0027560B"/>
    <w:rsid w:val="00277D62"/>
    <w:rsid w:val="00283B59"/>
    <w:rsid w:val="002844E7"/>
    <w:rsid w:val="002A779B"/>
    <w:rsid w:val="002B030F"/>
    <w:rsid w:val="002C017D"/>
    <w:rsid w:val="002D2623"/>
    <w:rsid w:val="002E4441"/>
    <w:rsid w:val="002E7D4D"/>
    <w:rsid w:val="002F6016"/>
    <w:rsid w:val="003024E1"/>
    <w:rsid w:val="003159D6"/>
    <w:rsid w:val="00324EF8"/>
    <w:rsid w:val="00327034"/>
    <w:rsid w:val="003318FA"/>
    <w:rsid w:val="00341A15"/>
    <w:rsid w:val="00384EA8"/>
    <w:rsid w:val="003866A2"/>
    <w:rsid w:val="003876B1"/>
    <w:rsid w:val="003B0396"/>
    <w:rsid w:val="003B0AAC"/>
    <w:rsid w:val="003B4CF4"/>
    <w:rsid w:val="003B5825"/>
    <w:rsid w:val="003B716F"/>
    <w:rsid w:val="003C46C8"/>
    <w:rsid w:val="003D48A9"/>
    <w:rsid w:val="003D7287"/>
    <w:rsid w:val="003E24EE"/>
    <w:rsid w:val="004079FB"/>
    <w:rsid w:val="0041009B"/>
    <w:rsid w:val="00413E42"/>
    <w:rsid w:val="00417D8E"/>
    <w:rsid w:val="00435566"/>
    <w:rsid w:val="004368CE"/>
    <w:rsid w:val="004439CC"/>
    <w:rsid w:val="004451FE"/>
    <w:rsid w:val="00453F41"/>
    <w:rsid w:val="00454C0F"/>
    <w:rsid w:val="004710D9"/>
    <w:rsid w:val="00477CEB"/>
    <w:rsid w:val="00495129"/>
    <w:rsid w:val="00495840"/>
    <w:rsid w:val="004A4B9F"/>
    <w:rsid w:val="004A5A16"/>
    <w:rsid w:val="004A5EC2"/>
    <w:rsid w:val="004B03CE"/>
    <w:rsid w:val="004C0AAC"/>
    <w:rsid w:val="004C2C92"/>
    <w:rsid w:val="004C4571"/>
    <w:rsid w:val="004D06C8"/>
    <w:rsid w:val="004D1E48"/>
    <w:rsid w:val="004D2F8E"/>
    <w:rsid w:val="004D7AE0"/>
    <w:rsid w:val="004F2E69"/>
    <w:rsid w:val="00510193"/>
    <w:rsid w:val="005267D9"/>
    <w:rsid w:val="00530118"/>
    <w:rsid w:val="00536083"/>
    <w:rsid w:val="00541607"/>
    <w:rsid w:val="00542C73"/>
    <w:rsid w:val="00552FC6"/>
    <w:rsid w:val="00554845"/>
    <w:rsid w:val="00556564"/>
    <w:rsid w:val="00560BB0"/>
    <w:rsid w:val="00565301"/>
    <w:rsid w:val="00566ECD"/>
    <w:rsid w:val="00571C65"/>
    <w:rsid w:val="005732E0"/>
    <w:rsid w:val="00583916"/>
    <w:rsid w:val="00591BEB"/>
    <w:rsid w:val="005921D7"/>
    <w:rsid w:val="005A6278"/>
    <w:rsid w:val="005A6E32"/>
    <w:rsid w:val="005C066D"/>
    <w:rsid w:val="005C649E"/>
    <w:rsid w:val="005D5E7F"/>
    <w:rsid w:val="005E3111"/>
    <w:rsid w:val="005F6431"/>
    <w:rsid w:val="006035EF"/>
    <w:rsid w:val="00603E52"/>
    <w:rsid w:val="00604A4F"/>
    <w:rsid w:val="006120FC"/>
    <w:rsid w:val="00622680"/>
    <w:rsid w:val="00623B9B"/>
    <w:rsid w:val="00633924"/>
    <w:rsid w:val="00643BBC"/>
    <w:rsid w:val="006456FB"/>
    <w:rsid w:val="00646490"/>
    <w:rsid w:val="00646CCC"/>
    <w:rsid w:val="00651763"/>
    <w:rsid w:val="00652436"/>
    <w:rsid w:val="00652CE9"/>
    <w:rsid w:val="00653516"/>
    <w:rsid w:val="00654A82"/>
    <w:rsid w:val="006555CC"/>
    <w:rsid w:val="00664BCE"/>
    <w:rsid w:val="006650FC"/>
    <w:rsid w:val="00665D21"/>
    <w:rsid w:val="00670C0C"/>
    <w:rsid w:val="00672C51"/>
    <w:rsid w:val="00680F2A"/>
    <w:rsid w:val="00681411"/>
    <w:rsid w:val="00686B31"/>
    <w:rsid w:val="00697078"/>
    <w:rsid w:val="006A6F86"/>
    <w:rsid w:val="006C01E8"/>
    <w:rsid w:val="006D56B0"/>
    <w:rsid w:val="006E1071"/>
    <w:rsid w:val="006E7050"/>
    <w:rsid w:val="006F3DB5"/>
    <w:rsid w:val="006F4B80"/>
    <w:rsid w:val="007050E4"/>
    <w:rsid w:val="00714D71"/>
    <w:rsid w:val="00715A23"/>
    <w:rsid w:val="00721976"/>
    <w:rsid w:val="007278E3"/>
    <w:rsid w:val="007358D0"/>
    <w:rsid w:val="0073730F"/>
    <w:rsid w:val="00761E31"/>
    <w:rsid w:val="00763491"/>
    <w:rsid w:val="0076474C"/>
    <w:rsid w:val="00767DFF"/>
    <w:rsid w:val="007769C0"/>
    <w:rsid w:val="00777B65"/>
    <w:rsid w:val="00787BB0"/>
    <w:rsid w:val="00791405"/>
    <w:rsid w:val="00791597"/>
    <w:rsid w:val="007950AA"/>
    <w:rsid w:val="00795FD8"/>
    <w:rsid w:val="0079665D"/>
    <w:rsid w:val="007966D7"/>
    <w:rsid w:val="007A4469"/>
    <w:rsid w:val="007A64F0"/>
    <w:rsid w:val="007C2CE5"/>
    <w:rsid w:val="007F5274"/>
    <w:rsid w:val="00800801"/>
    <w:rsid w:val="0080487B"/>
    <w:rsid w:val="008061FB"/>
    <w:rsid w:val="0081287C"/>
    <w:rsid w:val="00813D78"/>
    <w:rsid w:val="008170BF"/>
    <w:rsid w:val="008273DC"/>
    <w:rsid w:val="008328F8"/>
    <w:rsid w:val="00844374"/>
    <w:rsid w:val="00852230"/>
    <w:rsid w:val="00853F7A"/>
    <w:rsid w:val="00871119"/>
    <w:rsid w:val="00876F00"/>
    <w:rsid w:val="008778F0"/>
    <w:rsid w:val="00885858"/>
    <w:rsid w:val="008A6B70"/>
    <w:rsid w:val="008B06F7"/>
    <w:rsid w:val="008C6C28"/>
    <w:rsid w:val="008D7643"/>
    <w:rsid w:val="008E12FA"/>
    <w:rsid w:val="008F04D1"/>
    <w:rsid w:val="00902FD6"/>
    <w:rsid w:val="009173B8"/>
    <w:rsid w:val="009227AE"/>
    <w:rsid w:val="00924779"/>
    <w:rsid w:val="009248AC"/>
    <w:rsid w:val="009362E0"/>
    <w:rsid w:val="0093693A"/>
    <w:rsid w:val="0095112A"/>
    <w:rsid w:val="00962234"/>
    <w:rsid w:val="0096369B"/>
    <w:rsid w:val="00975828"/>
    <w:rsid w:val="009769E9"/>
    <w:rsid w:val="009860D0"/>
    <w:rsid w:val="00990A20"/>
    <w:rsid w:val="009A35D2"/>
    <w:rsid w:val="009A7D4A"/>
    <w:rsid w:val="009B33BC"/>
    <w:rsid w:val="009C459E"/>
    <w:rsid w:val="009C7CE1"/>
    <w:rsid w:val="009C7DE1"/>
    <w:rsid w:val="009E278F"/>
    <w:rsid w:val="00A11B58"/>
    <w:rsid w:val="00A128E0"/>
    <w:rsid w:val="00A262F9"/>
    <w:rsid w:val="00A2716F"/>
    <w:rsid w:val="00A33887"/>
    <w:rsid w:val="00A409FA"/>
    <w:rsid w:val="00A4183D"/>
    <w:rsid w:val="00A42733"/>
    <w:rsid w:val="00A530D7"/>
    <w:rsid w:val="00A554BE"/>
    <w:rsid w:val="00A630A4"/>
    <w:rsid w:val="00A64DDE"/>
    <w:rsid w:val="00A663DC"/>
    <w:rsid w:val="00A80348"/>
    <w:rsid w:val="00A81F50"/>
    <w:rsid w:val="00A82492"/>
    <w:rsid w:val="00A9173C"/>
    <w:rsid w:val="00A920CF"/>
    <w:rsid w:val="00AA01CE"/>
    <w:rsid w:val="00AA0592"/>
    <w:rsid w:val="00AA250A"/>
    <w:rsid w:val="00AA468A"/>
    <w:rsid w:val="00AA4B33"/>
    <w:rsid w:val="00AC45AB"/>
    <w:rsid w:val="00AC6EE1"/>
    <w:rsid w:val="00AC72E3"/>
    <w:rsid w:val="00AD1BBF"/>
    <w:rsid w:val="00B15BB8"/>
    <w:rsid w:val="00B16A1B"/>
    <w:rsid w:val="00B248C3"/>
    <w:rsid w:val="00B33870"/>
    <w:rsid w:val="00B538A7"/>
    <w:rsid w:val="00B60869"/>
    <w:rsid w:val="00B626EE"/>
    <w:rsid w:val="00B704FF"/>
    <w:rsid w:val="00B95F87"/>
    <w:rsid w:val="00BB2326"/>
    <w:rsid w:val="00BD49C0"/>
    <w:rsid w:val="00BE3ECC"/>
    <w:rsid w:val="00BE672C"/>
    <w:rsid w:val="00BE7AED"/>
    <w:rsid w:val="00BF05C1"/>
    <w:rsid w:val="00BF18B9"/>
    <w:rsid w:val="00BF3B1A"/>
    <w:rsid w:val="00C124A8"/>
    <w:rsid w:val="00C1312D"/>
    <w:rsid w:val="00C17475"/>
    <w:rsid w:val="00C238C7"/>
    <w:rsid w:val="00C31D40"/>
    <w:rsid w:val="00C35043"/>
    <w:rsid w:val="00C548DD"/>
    <w:rsid w:val="00C6128B"/>
    <w:rsid w:val="00C6271A"/>
    <w:rsid w:val="00C65C34"/>
    <w:rsid w:val="00C66D9B"/>
    <w:rsid w:val="00C7547C"/>
    <w:rsid w:val="00C80E1D"/>
    <w:rsid w:val="00C833A5"/>
    <w:rsid w:val="00C92CA7"/>
    <w:rsid w:val="00C94CEE"/>
    <w:rsid w:val="00C95F76"/>
    <w:rsid w:val="00C969C4"/>
    <w:rsid w:val="00CA258E"/>
    <w:rsid w:val="00CB1BF2"/>
    <w:rsid w:val="00CB408C"/>
    <w:rsid w:val="00CB7AE3"/>
    <w:rsid w:val="00CD07A3"/>
    <w:rsid w:val="00CD3CAD"/>
    <w:rsid w:val="00CE1983"/>
    <w:rsid w:val="00CE6610"/>
    <w:rsid w:val="00D21BB2"/>
    <w:rsid w:val="00D23F7A"/>
    <w:rsid w:val="00D24513"/>
    <w:rsid w:val="00D26CED"/>
    <w:rsid w:val="00D271ED"/>
    <w:rsid w:val="00D3059D"/>
    <w:rsid w:val="00D361C4"/>
    <w:rsid w:val="00D36513"/>
    <w:rsid w:val="00D377E7"/>
    <w:rsid w:val="00D44DC4"/>
    <w:rsid w:val="00D603DF"/>
    <w:rsid w:val="00D74258"/>
    <w:rsid w:val="00D82CFB"/>
    <w:rsid w:val="00D84BC0"/>
    <w:rsid w:val="00D85E02"/>
    <w:rsid w:val="00D904A2"/>
    <w:rsid w:val="00D93989"/>
    <w:rsid w:val="00D972FB"/>
    <w:rsid w:val="00DA06B7"/>
    <w:rsid w:val="00DA14E5"/>
    <w:rsid w:val="00DC37D3"/>
    <w:rsid w:val="00DC4BC5"/>
    <w:rsid w:val="00DD4FCF"/>
    <w:rsid w:val="00DE0711"/>
    <w:rsid w:val="00DE1E42"/>
    <w:rsid w:val="00DF3418"/>
    <w:rsid w:val="00DF5559"/>
    <w:rsid w:val="00DF7BBC"/>
    <w:rsid w:val="00E020F6"/>
    <w:rsid w:val="00E03976"/>
    <w:rsid w:val="00E03CC7"/>
    <w:rsid w:val="00E10C68"/>
    <w:rsid w:val="00E143DF"/>
    <w:rsid w:val="00E17A6A"/>
    <w:rsid w:val="00E32541"/>
    <w:rsid w:val="00E50B66"/>
    <w:rsid w:val="00E5641E"/>
    <w:rsid w:val="00E74B17"/>
    <w:rsid w:val="00E82078"/>
    <w:rsid w:val="00E82E2C"/>
    <w:rsid w:val="00E90294"/>
    <w:rsid w:val="00EA5393"/>
    <w:rsid w:val="00EA5FC1"/>
    <w:rsid w:val="00EB558E"/>
    <w:rsid w:val="00EC5260"/>
    <w:rsid w:val="00ED0E61"/>
    <w:rsid w:val="00ED353B"/>
    <w:rsid w:val="00ED39E6"/>
    <w:rsid w:val="00ED5278"/>
    <w:rsid w:val="00ED5EBF"/>
    <w:rsid w:val="00ED5F1F"/>
    <w:rsid w:val="00EE32C4"/>
    <w:rsid w:val="00EF2C66"/>
    <w:rsid w:val="00F0106B"/>
    <w:rsid w:val="00F10FA1"/>
    <w:rsid w:val="00F13D16"/>
    <w:rsid w:val="00F16152"/>
    <w:rsid w:val="00F322CC"/>
    <w:rsid w:val="00F322DD"/>
    <w:rsid w:val="00F3291D"/>
    <w:rsid w:val="00F33101"/>
    <w:rsid w:val="00F3363F"/>
    <w:rsid w:val="00F36293"/>
    <w:rsid w:val="00F3780B"/>
    <w:rsid w:val="00F405A3"/>
    <w:rsid w:val="00F4066B"/>
    <w:rsid w:val="00F53E04"/>
    <w:rsid w:val="00F65981"/>
    <w:rsid w:val="00F7607B"/>
    <w:rsid w:val="00F834F2"/>
    <w:rsid w:val="00F959AD"/>
    <w:rsid w:val="00FA0CAA"/>
    <w:rsid w:val="00FA1242"/>
    <w:rsid w:val="00FA44CE"/>
    <w:rsid w:val="00FA758F"/>
    <w:rsid w:val="00FC33E9"/>
    <w:rsid w:val="00FC7132"/>
    <w:rsid w:val="00FE0D40"/>
    <w:rsid w:val="00FE75DA"/>
    <w:rsid w:val="00FF6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0AD19E5"/>
  <w15:chartTrackingRefBased/>
  <w15:docId w15:val="{4AB286A3-82B1-4A6A-8747-E4E15CE5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numPr>
        <w:numId w:val="1"/>
      </w:numPr>
      <w:spacing w:before="240" w:after="60"/>
      <w:outlineLvl w:val="0"/>
    </w:pPr>
    <w:rPr>
      <w:rFonts w:ascii="Arial" w:hAnsi="Arial"/>
      <w:b/>
      <w:sz w:val="36"/>
    </w:rPr>
  </w:style>
  <w:style w:type="paragraph" w:styleId="Heading2">
    <w:name w:val="heading 2"/>
    <w:aliases w:val="head 2"/>
    <w:basedOn w:val="Normal"/>
    <w:next w:val="Normal"/>
    <w:qFormat/>
    <w:pPr>
      <w:keepNext/>
      <w:numPr>
        <w:ilvl w:val="1"/>
        <w:numId w:val="1"/>
      </w:numPr>
      <w:tabs>
        <w:tab w:val="left" w:pos="720"/>
      </w:tabs>
      <w:spacing w:before="240" w:after="60"/>
      <w:outlineLvl w:val="1"/>
    </w:pPr>
    <w:rPr>
      <w:rFonts w:ascii="Arial" w:hAnsi="Arial"/>
      <w:b/>
      <w:sz w:val="28"/>
    </w:rPr>
  </w:style>
  <w:style w:type="paragraph" w:styleId="Heading3">
    <w:name w:val="heading 3"/>
    <w:aliases w:val="head 3"/>
    <w:basedOn w:val="Normal"/>
    <w:next w:val="Normal"/>
    <w:qFormat/>
    <w:pPr>
      <w:keepNext/>
      <w:numPr>
        <w:ilvl w:val="2"/>
        <w:numId w:val="1"/>
      </w:numPr>
      <w:tabs>
        <w:tab w:val="left" w:pos="864"/>
      </w:tabs>
      <w:spacing w:before="240" w:after="60"/>
      <w:outlineLvl w:val="2"/>
    </w:pPr>
    <w:rPr>
      <w:rFonts w:ascii="Arial" w:hAnsi="Arial"/>
      <w:b/>
      <w:i/>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9504"/>
      </w:tabs>
    </w:pPr>
  </w:style>
  <w:style w:type="paragraph" w:styleId="Footer">
    <w:name w:val="footer"/>
    <w:basedOn w:val="Normal"/>
    <w:pPr>
      <w:tabs>
        <w:tab w:val="center" w:pos="4680"/>
        <w:tab w:val="right" w:pos="9270"/>
      </w:tabs>
    </w:pPr>
    <w:rPr>
      <w:sz w:val="20"/>
    </w:rPr>
  </w:style>
  <w:style w:type="paragraph" w:styleId="TOC1">
    <w:name w:val="toc 1"/>
    <w:basedOn w:val="Normal"/>
    <w:next w:val="Normal"/>
    <w:autoRedefine/>
    <w:uiPriority w:val="39"/>
    <w:pPr>
      <w:spacing w:before="240" w:after="240"/>
    </w:pPr>
    <w:rPr>
      <w:b/>
      <w:sz w:val="28"/>
    </w:rPr>
  </w:style>
  <w:style w:type="paragraph" w:customStyle="1" w:styleId="Appendix1">
    <w:name w:val="Appendix 1"/>
    <w:basedOn w:val="Normal"/>
    <w:rPr>
      <w:rFonts w:ascii="Arial Rounded MT Bold" w:hAnsi="Arial Rounded MT Bold"/>
      <w:b/>
      <w:sz w:val="36"/>
    </w:rPr>
  </w:style>
  <w:style w:type="paragraph" w:styleId="TOC2">
    <w:name w:val="toc 2"/>
    <w:basedOn w:val="Normal"/>
    <w:next w:val="Normal"/>
    <w:autoRedefine/>
    <w:uiPriority w:val="39"/>
    <w:pPr>
      <w:tabs>
        <w:tab w:val="left" w:pos="960"/>
        <w:tab w:val="right" w:leader="dot" w:pos="9350"/>
      </w:tabs>
      <w:spacing w:before="120"/>
      <w:ind w:left="288"/>
    </w:pPr>
    <w:rPr>
      <w:noProof/>
      <w:sz w:val="22"/>
    </w:rPr>
  </w:style>
  <w:style w:type="paragraph" w:styleId="TOC3">
    <w:name w:val="toc 3"/>
    <w:basedOn w:val="Normal"/>
    <w:next w:val="Normal"/>
    <w:autoRedefine/>
    <w:uiPriority w:val="39"/>
    <w:pPr>
      <w:tabs>
        <w:tab w:val="left" w:pos="1170"/>
        <w:tab w:val="left" w:pos="2160"/>
        <w:tab w:val="right" w:leader="dot" w:pos="9350"/>
      </w:tabs>
      <w:ind w:left="432"/>
    </w:pPr>
    <w:rPr>
      <w:noProof/>
      <w:sz w:val="22"/>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customStyle="1" w:styleId="Heading21">
    <w:name w:val="Heading 21"/>
    <w:basedOn w:val="Heading2"/>
    <w:pPr>
      <w:spacing w:line="216" w:lineRule="auto"/>
      <w:outlineLvl w:val="9"/>
    </w:pPr>
  </w:style>
  <w:style w:type="paragraph" w:customStyle="1" w:styleId="Style1">
    <w:name w:val="Style1"/>
    <w:basedOn w:val="Normal"/>
  </w:style>
  <w:style w:type="paragraph" w:customStyle="1" w:styleId="Preface">
    <w:name w:val="Preface"/>
    <w:basedOn w:val="Normal"/>
    <w:rPr>
      <w:rFonts w:ascii="Arial" w:hAnsi="Arial"/>
      <w:b/>
      <w:sz w:val="36"/>
    </w:rPr>
  </w:style>
  <w:style w:type="paragraph" w:styleId="Index1">
    <w:name w:val="index 1"/>
    <w:aliases w:val="index"/>
    <w:basedOn w:val="Normal"/>
    <w:next w:val="Normal"/>
    <w:autoRedefine/>
    <w:semiHidden/>
    <w:pPr>
      <w:ind w:left="240" w:hanging="240"/>
    </w:pPr>
  </w:style>
  <w:style w:type="paragraph" w:customStyle="1" w:styleId="PrintoutFollows">
    <w:name w:val="Printout Follows"/>
    <w:basedOn w:val="Normal"/>
    <w:next w:val="Normal"/>
    <w:pPr>
      <w:tabs>
        <w:tab w:val="center" w:leader="dot" w:pos="4680"/>
        <w:tab w:val="right" w:leader="dot" w:pos="9360"/>
      </w:tabs>
      <w:spacing w:before="120" w:after="240"/>
    </w:pPr>
    <w:rPr>
      <w:i/>
    </w:rPr>
  </w:style>
  <w:style w:type="paragraph" w:customStyle="1" w:styleId="Menu">
    <w:name w:val="Menu"/>
    <w:basedOn w:val="Normal"/>
    <w:pPr>
      <w:tabs>
        <w:tab w:val="left" w:pos="2160"/>
        <w:tab w:val="left" w:pos="3240"/>
        <w:tab w:val="left" w:pos="4320"/>
        <w:tab w:val="left" w:pos="5040"/>
      </w:tabs>
      <w:spacing w:after="240"/>
      <w:ind w:left="1440" w:right="-360"/>
    </w:pPr>
  </w:style>
  <w:style w:type="paragraph" w:customStyle="1" w:styleId="Heading31">
    <w:name w:val="Heading 31"/>
    <w:basedOn w:val="Normal"/>
    <w:rPr>
      <w:b/>
    </w:rPr>
  </w:style>
  <w:style w:type="paragraph" w:styleId="Index3">
    <w:name w:val="index 3"/>
    <w:basedOn w:val="Normal"/>
    <w:next w:val="Normal"/>
    <w:autoRedefine/>
    <w:semiHidden/>
    <w:pPr>
      <w:ind w:left="720" w:hanging="240"/>
    </w:pPr>
  </w:style>
  <w:style w:type="paragraph" w:customStyle="1" w:styleId="heading10">
    <w:name w:val="heading1"/>
    <w:aliases w:val="head1"/>
    <w:basedOn w:val="Heading1"/>
    <w:pPr>
      <w:widowControl w:val="0"/>
      <w:numPr>
        <w:numId w:val="0"/>
      </w:numPr>
      <w:tabs>
        <w:tab w:val="num" w:pos="360"/>
      </w:tabs>
      <w:ind w:left="360" w:hanging="360"/>
    </w:pPr>
  </w:style>
  <w:style w:type="paragraph" w:styleId="Index2">
    <w:name w:val="index 2"/>
    <w:basedOn w:val="Normal"/>
    <w:next w:val="Normal"/>
    <w:autoRedefine/>
    <w:semiHidden/>
    <w:pPr>
      <w:ind w:left="48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pPr>
      <w:spacing w:before="120" w:after="120"/>
    </w:pPr>
    <w:rPr>
      <w:b/>
      <w:i/>
    </w:rPr>
  </w:style>
  <w:style w:type="paragraph" w:styleId="BodyText">
    <w:name w:val="Body Text"/>
    <w:basedOn w:val="Normal"/>
    <w:rPr>
      <w:b/>
    </w:rPr>
  </w:style>
  <w:style w:type="paragraph" w:styleId="BodyText2">
    <w:name w:val="Body Text 2"/>
    <w:basedOn w:val="Normal"/>
  </w:style>
  <w:style w:type="paragraph" w:styleId="BodyTextIndent">
    <w:name w:val="Body Text Indent"/>
    <w:basedOn w:val="Normal"/>
    <w:pPr>
      <w:ind w:left="1170"/>
    </w:pPr>
  </w:style>
  <w:style w:type="paragraph" w:styleId="BodyTextIndent2">
    <w:name w:val="Body Text Indent 2"/>
    <w:basedOn w:val="Normal"/>
    <w:link w:val="BodyTextIndent2Char"/>
    <w:pPr>
      <w:ind w:left="360"/>
    </w:pPr>
  </w:style>
  <w:style w:type="paragraph" w:styleId="BodyTextIndent3">
    <w:name w:val="Body Text Indent 3"/>
    <w:basedOn w:val="Normal"/>
    <w:pPr>
      <w:ind w:left="1440"/>
    </w:pPr>
  </w:style>
  <w:style w:type="paragraph" w:customStyle="1" w:styleId="text">
    <w:name w:val="text"/>
    <w:basedOn w:val="Normal"/>
    <w:pPr>
      <w:widowControl w:val="0"/>
      <w:spacing w:after="240"/>
    </w:pPr>
    <w:rPr>
      <w:noProof/>
    </w:rPr>
  </w:style>
  <w:style w:type="paragraph" w:customStyle="1" w:styleId="Note">
    <w:name w:val="Note"/>
    <w:basedOn w:val="Normal"/>
    <w:pPr>
      <w:widowControl w:val="0"/>
      <w:tabs>
        <w:tab w:val="right" w:pos="10080"/>
      </w:tabs>
      <w:spacing w:after="240"/>
      <w:ind w:left="900" w:hanging="900"/>
    </w:pPr>
    <w:rPr>
      <w:noProof/>
    </w:rPr>
  </w:style>
  <w:style w:type="paragraph" w:customStyle="1" w:styleId="SectionHeading">
    <w:name w:val="Section Heading"/>
    <w:basedOn w:val="Heading1"/>
    <w:pPr>
      <w:keepLines/>
      <w:numPr>
        <w:numId w:val="0"/>
      </w:numPr>
      <w:pBdr>
        <w:top w:val="single" w:sz="30" w:space="3" w:color="FFFFFF"/>
        <w:left w:val="single" w:sz="6" w:space="3" w:color="FFFFFF"/>
        <w:bottom w:val="single" w:sz="6" w:space="3" w:color="FFFFFF"/>
      </w:pBdr>
      <w:shd w:val="solid" w:color="auto" w:fill="auto"/>
      <w:tabs>
        <w:tab w:val="left" w:pos="360"/>
      </w:tabs>
      <w:spacing w:before="0" w:after="240" w:line="240" w:lineRule="atLeast"/>
      <w:jc w:val="both"/>
      <w:outlineLvl w:val="9"/>
    </w:pPr>
    <w:rPr>
      <w:rFonts w:ascii="Arial Black" w:hAnsi="Arial Black"/>
      <w:b w:val="0"/>
      <w:color w:val="FFFFFF"/>
      <w:spacing w:val="-10"/>
      <w:kern w:val="20"/>
      <w:position w:val="8"/>
      <w:sz w:val="24"/>
    </w:rPr>
  </w:style>
  <w:style w:type="paragraph" w:customStyle="1" w:styleId="Paragraph1">
    <w:name w:val="Paragraph1"/>
    <w:basedOn w:val="Normal"/>
    <w:pPr>
      <w:spacing w:before="80"/>
      <w:jc w:val="both"/>
    </w:pPr>
    <w:rPr>
      <w:rFonts w:ascii="Arial" w:hAnsi="Arial"/>
    </w:rPr>
  </w:style>
  <w:style w:type="paragraph" w:styleId="BlockText">
    <w:name w:val="Block Text"/>
    <w:basedOn w:val="Normal"/>
    <w:pPr>
      <w:spacing w:after="120"/>
      <w:ind w:left="1440" w:right="1440"/>
    </w:pPr>
  </w:style>
  <w:style w:type="paragraph" w:styleId="BodyText3">
    <w:name w:val="Body Text 3"/>
    <w:basedOn w:val="Normal"/>
    <w:pPr>
      <w:spacing w:after="120"/>
    </w:pPr>
    <w:rPr>
      <w:rFonts w:ascii="Courier New" w:hAnsi="Courier New"/>
      <w:b/>
      <w:sz w:val="16"/>
    </w:rPr>
  </w:style>
  <w:style w:type="paragraph" w:styleId="BodyTextFirstIndent">
    <w:name w:val="Body Text First Indent"/>
    <w:basedOn w:val="BodyText"/>
    <w:pPr>
      <w:spacing w:after="120"/>
      <w:ind w:firstLine="210"/>
    </w:pPr>
    <w:rPr>
      <w:b w:val="0"/>
    </w:rPr>
  </w:style>
  <w:style w:type="paragraph" w:styleId="BodyTextFirstIndent2">
    <w:name w:val="Body Text First Indent 2"/>
    <w:basedOn w:val="BodyTextIndent"/>
    <w:link w:val="BodyTextFirstIndent2Char"/>
    <w:pPr>
      <w:spacing w:after="120"/>
      <w:ind w:left="360" w:firstLine="210"/>
    </w:p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link w:val="CommentTextChar"/>
    <w:uiPriority w:val="99"/>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customStyle="1" w:styleId="Logo">
    <w:name w:val="Logo"/>
    <w:basedOn w:val="Normal"/>
    <w:pPr>
      <w:widowControl w:val="0"/>
      <w:spacing w:after="3120"/>
      <w:jc w:val="center"/>
    </w:pPr>
    <w:rPr>
      <w:noProof/>
    </w:rPr>
  </w:style>
  <w:style w:type="character" w:styleId="Hyperlink">
    <w:name w:val="Hyperlink"/>
    <w:basedOn w:val="DefaultParagraphFont"/>
    <w:uiPriority w:val="99"/>
    <w:rPr>
      <w:color w:val="0000FF"/>
      <w:u w:val="single"/>
    </w:rPr>
  </w:style>
  <w:style w:type="paragraph" w:customStyle="1" w:styleId="TableText">
    <w:name w:val="Table Text"/>
    <w:link w:val="TableTextChar"/>
    <w:pPr>
      <w:spacing w:before="40" w:after="40"/>
    </w:p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Paragraph3">
    <w:name w:val="Paragraph3"/>
    <w:basedOn w:val="Normal"/>
    <w:pPr>
      <w:spacing w:before="80"/>
      <w:ind w:left="360"/>
      <w:jc w:val="both"/>
    </w:p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ormalWeb">
    <w:name w:val="Normal (Web)"/>
    <w:basedOn w:val="Normal"/>
    <w:rPr>
      <w:szCs w:val="24"/>
    </w:rPr>
  </w:style>
  <w:style w:type="paragraph" w:customStyle="1" w:styleId="Paragraph4">
    <w:name w:val="Paragraph4"/>
    <w:basedOn w:val="Paragraph1"/>
    <w:pPr>
      <w:ind w:left="720"/>
    </w:pPr>
    <w:rPr>
      <w:rFonts w:ascii="Times New Roman" w:hAnsi="Times New Roman"/>
      <w:sz w:val="20"/>
    </w:rPr>
  </w:style>
  <w:style w:type="character" w:customStyle="1" w:styleId="BodyTextChar">
    <w:name w:val="Body Text Char"/>
    <w:basedOn w:val="DefaultParagraphFont"/>
    <w:rPr>
      <w:color w:val="000080"/>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Subject">
    <w:name w:val="annotation subject"/>
    <w:basedOn w:val="CommentText"/>
    <w:next w:val="CommentText"/>
    <w:semiHidden/>
    <w:rPr>
      <w:b/>
      <w:bCs/>
      <w:sz w:val="20"/>
    </w:rPr>
  </w:style>
  <w:style w:type="character" w:customStyle="1" w:styleId="TableTextChar">
    <w:name w:val="Table Text Char"/>
    <w:basedOn w:val="DefaultParagraphFont"/>
    <w:link w:val="TableText"/>
    <w:rsid w:val="00BE672C"/>
    <w:rPr>
      <w:lang w:val="en-US" w:eastAsia="en-US" w:bidi="ar-SA"/>
    </w:rPr>
  </w:style>
  <w:style w:type="paragraph" w:customStyle="1" w:styleId="Paragraph5">
    <w:name w:val="Paragraph5"/>
    <w:basedOn w:val="Normal"/>
    <w:link w:val="Paragraph5Char"/>
    <w:rsid w:val="004A5A16"/>
    <w:pPr>
      <w:spacing w:before="80"/>
      <w:ind w:left="1080"/>
      <w:jc w:val="both"/>
    </w:pPr>
    <w:rPr>
      <w:sz w:val="20"/>
    </w:rPr>
  </w:style>
  <w:style w:type="character" w:customStyle="1" w:styleId="Paragraph5Char">
    <w:name w:val="Paragraph5 Char"/>
    <w:basedOn w:val="DefaultParagraphFont"/>
    <w:link w:val="Paragraph5"/>
    <w:rsid w:val="004A5A16"/>
    <w:rPr>
      <w:lang w:val="en-US" w:eastAsia="en-US" w:bidi="ar-SA"/>
    </w:rPr>
  </w:style>
  <w:style w:type="paragraph" w:customStyle="1" w:styleId="Paragraph2">
    <w:name w:val="Paragraph2"/>
    <w:basedOn w:val="Normal"/>
    <w:rsid w:val="0076474C"/>
    <w:pPr>
      <w:spacing w:before="80"/>
      <w:jc w:val="both"/>
    </w:pPr>
    <w:rPr>
      <w:rFonts w:eastAsia="SimSun"/>
      <w:sz w:val="20"/>
      <w:lang w:eastAsia="zh-CN"/>
    </w:rPr>
  </w:style>
  <w:style w:type="paragraph" w:customStyle="1" w:styleId="ListBullet20">
    <w:name w:val="List Bullet2"/>
    <w:basedOn w:val="ListBullet"/>
    <w:rsid w:val="002F6016"/>
    <w:pPr>
      <w:tabs>
        <w:tab w:val="clear" w:pos="360"/>
      </w:tabs>
      <w:spacing w:after="120"/>
      <w:ind w:left="0" w:firstLine="0"/>
    </w:pPr>
    <w:rPr>
      <w:sz w:val="22"/>
    </w:rPr>
  </w:style>
  <w:style w:type="paragraph" w:customStyle="1" w:styleId="Normal3">
    <w:name w:val="Normal 3"/>
    <w:basedOn w:val="ListBullet20"/>
    <w:qFormat/>
    <w:rsid w:val="002F6016"/>
    <w:pPr>
      <w:ind w:left="1267"/>
    </w:pPr>
  </w:style>
  <w:style w:type="paragraph" w:customStyle="1" w:styleId="Normal4">
    <w:name w:val="Normal 4"/>
    <w:basedOn w:val="Normal"/>
    <w:qFormat/>
    <w:rsid w:val="00454C0F"/>
    <w:pPr>
      <w:spacing w:before="80" w:after="120"/>
      <w:ind w:left="2347"/>
    </w:pPr>
    <w:rPr>
      <w:sz w:val="22"/>
    </w:rPr>
  </w:style>
  <w:style w:type="paragraph" w:styleId="Revision">
    <w:name w:val="Revision"/>
    <w:hidden/>
    <w:uiPriority w:val="99"/>
    <w:semiHidden/>
    <w:rsid w:val="00CE6610"/>
    <w:rPr>
      <w:sz w:val="24"/>
    </w:rPr>
  </w:style>
  <w:style w:type="paragraph" w:styleId="TOCHeading">
    <w:name w:val="TOC Heading"/>
    <w:basedOn w:val="Heading1"/>
    <w:next w:val="Normal"/>
    <w:uiPriority w:val="39"/>
    <w:semiHidden/>
    <w:unhideWhenUsed/>
    <w:qFormat/>
    <w:rsid w:val="0096369B"/>
    <w:pPr>
      <w:keepLines/>
      <w:numPr>
        <w:numId w:val="0"/>
      </w:numPr>
      <w:spacing w:before="480" w:after="0" w:line="276" w:lineRule="auto"/>
      <w:outlineLvl w:val="9"/>
    </w:pPr>
    <w:rPr>
      <w:rFonts w:ascii="Cambria" w:eastAsia="SimSun" w:hAnsi="Cambria"/>
      <w:bCs/>
      <w:color w:val="365F91"/>
      <w:sz w:val="28"/>
      <w:szCs w:val="28"/>
    </w:rPr>
  </w:style>
  <w:style w:type="paragraph" w:styleId="ListParagraph">
    <w:name w:val="List Paragraph"/>
    <w:basedOn w:val="Normal"/>
    <w:uiPriority w:val="34"/>
    <w:qFormat/>
    <w:rsid w:val="00EE32C4"/>
    <w:pPr>
      <w:ind w:left="720"/>
    </w:pPr>
  </w:style>
  <w:style w:type="character" w:customStyle="1" w:styleId="CommentTextChar">
    <w:name w:val="Comment Text Char"/>
    <w:basedOn w:val="DefaultParagraphFont"/>
    <w:link w:val="CommentText"/>
    <w:uiPriority w:val="99"/>
    <w:semiHidden/>
    <w:rsid w:val="00E03976"/>
    <w:rPr>
      <w:sz w:val="24"/>
      <w:lang w:eastAsia="en-US"/>
    </w:rPr>
  </w:style>
  <w:style w:type="character" w:customStyle="1" w:styleId="BodyTextIndent2Char">
    <w:name w:val="Body Text Indent 2 Char"/>
    <w:basedOn w:val="DefaultParagraphFont"/>
    <w:link w:val="BodyTextIndent2"/>
    <w:rsid w:val="000969B4"/>
    <w:rPr>
      <w:sz w:val="24"/>
      <w:lang w:eastAsia="en-US"/>
    </w:rPr>
  </w:style>
  <w:style w:type="character" w:customStyle="1" w:styleId="BodyTextFirstIndent2Char">
    <w:name w:val="Body Text First Indent 2 Char"/>
    <w:basedOn w:val="DefaultParagraphFont"/>
    <w:link w:val="BodyTextFirstIndent2"/>
    <w:rsid w:val="000969B4"/>
    <w:rPr>
      <w:sz w:val="24"/>
      <w:lang w:eastAsia="en-US"/>
    </w:rPr>
  </w:style>
  <w:style w:type="paragraph" w:customStyle="1" w:styleId="Example">
    <w:name w:val="Example"/>
    <w:next w:val="Normal"/>
    <w:link w:val="ExampleChar"/>
    <w:autoRedefine/>
    <w:rsid w:val="003C46C8"/>
    <w:pPr>
      <w:spacing w:before="280" w:after="200"/>
      <w:ind w:left="720"/>
      <w:jc w:val="center"/>
    </w:pPr>
    <w:rPr>
      <w:rFonts w:ascii="Arial" w:hAnsi="Arial" w:cs="Arial"/>
      <w:b/>
      <w:bCs/>
      <w:sz w:val="24"/>
      <w:szCs w:val="24"/>
    </w:rPr>
  </w:style>
  <w:style w:type="character" w:customStyle="1" w:styleId="ExampleChar">
    <w:name w:val="Example Char"/>
    <w:basedOn w:val="DefaultParagraphFont"/>
    <w:link w:val="Example"/>
    <w:rsid w:val="003C46C8"/>
    <w:rPr>
      <w:rFonts w:ascii="Arial" w:hAnsi="Arial" w:cs="Arial"/>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4680415">
      <w:bodyDiv w:val="1"/>
      <w:marLeft w:val="0"/>
      <w:marRight w:val="0"/>
      <w:marTop w:val="0"/>
      <w:marBottom w:val="0"/>
      <w:divBdr>
        <w:top w:val="none" w:sz="0" w:space="0" w:color="auto"/>
        <w:left w:val="none" w:sz="0" w:space="0" w:color="auto"/>
        <w:bottom w:val="none" w:sz="0" w:space="0" w:color="auto"/>
        <w:right w:val="none" w:sz="0" w:space="0" w:color="auto"/>
      </w:divBdr>
    </w:div>
    <w:div w:id="1778602626">
      <w:bodyDiv w:val="1"/>
      <w:marLeft w:val="0"/>
      <w:marRight w:val="0"/>
      <w:marTop w:val="0"/>
      <w:marBottom w:val="0"/>
      <w:divBdr>
        <w:top w:val="none" w:sz="0" w:space="0" w:color="auto"/>
        <w:left w:val="none" w:sz="0" w:space="0" w:color="auto"/>
        <w:bottom w:val="none" w:sz="0" w:space="0" w:color="auto"/>
        <w:right w:val="none" w:sz="0" w:space="0" w:color="auto"/>
      </w:divBdr>
    </w:div>
    <w:div w:id="198103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3.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2197</Words>
  <Characters>12529</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14697</CharactersWithSpaces>
  <SharedDoc>false</SharedDoc>
  <HLinks>
    <vt:vector size="66" baseType="variant">
      <vt:variant>
        <vt:i4>7602215</vt:i4>
      </vt:variant>
      <vt:variant>
        <vt:i4>63</vt:i4>
      </vt:variant>
      <vt:variant>
        <vt:i4>0</vt:i4>
      </vt:variant>
      <vt:variant>
        <vt:i4>5</vt:i4>
      </vt:variant>
      <vt:variant>
        <vt:lpwstr>http://www.access-board.gov/sec508/guide/1194.21.htm</vt:lpwstr>
      </vt:variant>
      <vt:variant>
        <vt:lpwstr>(a)</vt:lpwstr>
      </vt:variant>
      <vt:variant>
        <vt:i4>1114161</vt:i4>
      </vt:variant>
      <vt:variant>
        <vt:i4>56</vt:i4>
      </vt:variant>
      <vt:variant>
        <vt:i4>0</vt:i4>
      </vt:variant>
      <vt:variant>
        <vt:i4>5</vt:i4>
      </vt:variant>
      <vt:variant>
        <vt:lpwstr/>
      </vt:variant>
      <vt:variant>
        <vt:lpwstr>_Toc267466221</vt:lpwstr>
      </vt:variant>
      <vt:variant>
        <vt:i4>1114161</vt:i4>
      </vt:variant>
      <vt:variant>
        <vt:i4>50</vt:i4>
      </vt:variant>
      <vt:variant>
        <vt:i4>0</vt:i4>
      </vt:variant>
      <vt:variant>
        <vt:i4>5</vt:i4>
      </vt:variant>
      <vt:variant>
        <vt:lpwstr/>
      </vt:variant>
      <vt:variant>
        <vt:lpwstr>_Toc267466220</vt:lpwstr>
      </vt:variant>
      <vt:variant>
        <vt:i4>1179697</vt:i4>
      </vt:variant>
      <vt:variant>
        <vt:i4>44</vt:i4>
      </vt:variant>
      <vt:variant>
        <vt:i4>0</vt:i4>
      </vt:variant>
      <vt:variant>
        <vt:i4>5</vt:i4>
      </vt:variant>
      <vt:variant>
        <vt:lpwstr/>
      </vt:variant>
      <vt:variant>
        <vt:lpwstr>_Toc267466219</vt:lpwstr>
      </vt:variant>
      <vt:variant>
        <vt:i4>1179697</vt:i4>
      </vt:variant>
      <vt:variant>
        <vt:i4>38</vt:i4>
      </vt:variant>
      <vt:variant>
        <vt:i4>0</vt:i4>
      </vt:variant>
      <vt:variant>
        <vt:i4>5</vt:i4>
      </vt:variant>
      <vt:variant>
        <vt:lpwstr/>
      </vt:variant>
      <vt:variant>
        <vt:lpwstr>_Toc267466218</vt:lpwstr>
      </vt:variant>
      <vt:variant>
        <vt:i4>1179697</vt:i4>
      </vt:variant>
      <vt:variant>
        <vt:i4>32</vt:i4>
      </vt:variant>
      <vt:variant>
        <vt:i4>0</vt:i4>
      </vt:variant>
      <vt:variant>
        <vt:i4>5</vt:i4>
      </vt:variant>
      <vt:variant>
        <vt:lpwstr/>
      </vt:variant>
      <vt:variant>
        <vt:lpwstr>_Toc267466217</vt:lpwstr>
      </vt:variant>
      <vt:variant>
        <vt:i4>1179697</vt:i4>
      </vt:variant>
      <vt:variant>
        <vt:i4>26</vt:i4>
      </vt:variant>
      <vt:variant>
        <vt:i4>0</vt:i4>
      </vt:variant>
      <vt:variant>
        <vt:i4>5</vt:i4>
      </vt:variant>
      <vt:variant>
        <vt:lpwstr/>
      </vt:variant>
      <vt:variant>
        <vt:lpwstr>_Toc267466216</vt:lpwstr>
      </vt:variant>
      <vt:variant>
        <vt:i4>1179697</vt:i4>
      </vt:variant>
      <vt:variant>
        <vt:i4>20</vt:i4>
      </vt:variant>
      <vt:variant>
        <vt:i4>0</vt:i4>
      </vt:variant>
      <vt:variant>
        <vt:i4>5</vt:i4>
      </vt:variant>
      <vt:variant>
        <vt:lpwstr/>
      </vt:variant>
      <vt:variant>
        <vt:lpwstr>_Toc267466215</vt:lpwstr>
      </vt:variant>
      <vt:variant>
        <vt:i4>1179697</vt:i4>
      </vt:variant>
      <vt:variant>
        <vt:i4>14</vt:i4>
      </vt:variant>
      <vt:variant>
        <vt:i4>0</vt:i4>
      </vt:variant>
      <vt:variant>
        <vt:i4>5</vt:i4>
      </vt:variant>
      <vt:variant>
        <vt:lpwstr/>
      </vt:variant>
      <vt:variant>
        <vt:lpwstr>_Toc267466214</vt:lpwstr>
      </vt:variant>
      <vt:variant>
        <vt:i4>1179697</vt:i4>
      </vt:variant>
      <vt:variant>
        <vt:i4>8</vt:i4>
      </vt:variant>
      <vt:variant>
        <vt:i4>0</vt:i4>
      </vt:variant>
      <vt:variant>
        <vt:i4>5</vt:i4>
      </vt:variant>
      <vt:variant>
        <vt:lpwstr/>
      </vt:variant>
      <vt:variant>
        <vt:lpwstr>_Toc267466213</vt:lpwstr>
      </vt:variant>
      <vt:variant>
        <vt:i4>1179697</vt:i4>
      </vt:variant>
      <vt:variant>
        <vt:i4>2</vt:i4>
      </vt:variant>
      <vt:variant>
        <vt:i4>0</vt:i4>
      </vt:variant>
      <vt:variant>
        <vt:i4>5</vt:i4>
      </vt:variant>
      <vt:variant>
        <vt:lpwstr/>
      </vt:variant>
      <vt:variant>
        <vt:lpwstr>_Toc267466212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EDS Employee</dc:creator>
  <cp:keywords/>
  <dc:description/>
  <cp:lastModifiedBy>Department of Veterans Affairs</cp:lastModifiedBy>
  <cp:revision>2</cp:revision>
  <cp:lastPrinted>2010-07-07T14:35:00Z</cp:lastPrinted>
  <dcterms:created xsi:type="dcterms:W3CDTF">2021-08-25T18:55:00Z</dcterms:created>
  <dcterms:modified xsi:type="dcterms:W3CDTF">2021-08-25T18:55:00Z</dcterms:modified>
</cp:coreProperties>
</file>